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B4BA3" w14:textId="77777777" w:rsidR="00D7441B" w:rsidRPr="00966DF3" w:rsidRDefault="00D7441B" w:rsidP="00D7441B">
      <w:pPr>
        <w:ind w:firstLine="567"/>
        <w:jc w:val="right"/>
      </w:pPr>
      <w:bookmarkStart w:id="0" w:name="_GoBack"/>
      <w:bookmarkEnd w:id="0"/>
      <w:r w:rsidRPr="00966DF3">
        <w:t>proiect</w:t>
      </w:r>
    </w:p>
    <w:p w14:paraId="4C017D49" w14:textId="77777777" w:rsidR="00D7441B" w:rsidRPr="00966DF3" w:rsidRDefault="00D7441B" w:rsidP="00D7441B">
      <w:pPr>
        <w:ind w:firstLine="567"/>
        <w:jc w:val="center"/>
        <w:rPr>
          <w:b/>
          <w:bCs/>
        </w:rPr>
      </w:pPr>
      <w:r w:rsidRPr="00966DF3">
        <w:rPr>
          <w:b/>
          <w:bCs/>
        </w:rPr>
        <w:t>COMITETUL EXECUTIV</w:t>
      </w:r>
    </w:p>
    <w:p w14:paraId="703047E3" w14:textId="5E3D786D" w:rsidR="00D7441B" w:rsidRPr="00966DF3" w:rsidRDefault="00D7441B" w:rsidP="00D7441B">
      <w:pPr>
        <w:ind w:firstLine="567"/>
        <w:jc w:val="center"/>
        <w:rPr>
          <w:b/>
          <w:bCs/>
        </w:rPr>
      </w:pPr>
      <w:r w:rsidRPr="00966DF3">
        <w:rPr>
          <w:b/>
          <w:bCs/>
        </w:rPr>
        <w:t>BANCA NAȚIONALĂ A MOL</w:t>
      </w:r>
      <w:r w:rsidR="00F043E6">
        <w:rPr>
          <w:b/>
          <w:bCs/>
        </w:rPr>
        <w:t>DO</w:t>
      </w:r>
      <w:r w:rsidRPr="00966DF3">
        <w:rPr>
          <w:b/>
          <w:bCs/>
        </w:rPr>
        <w:t>VEI</w:t>
      </w:r>
    </w:p>
    <w:p w14:paraId="0742BEAA" w14:textId="77777777" w:rsidR="00D7441B" w:rsidRPr="00966DF3" w:rsidRDefault="00D7441B" w:rsidP="00D7441B">
      <w:pPr>
        <w:ind w:firstLine="567"/>
        <w:jc w:val="center"/>
        <w:rPr>
          <w:b/>
          <w:bCs/>
        </w:rPr>
      </w:pPr>
    </w:p>
    <w:p w14:paraId="26992227" w14:textId="77777777" w:rsidR="00D7441B" w:rsidRPr="00966DF3" w:rsidRDefault="00D7441B" w:rsidP="00D7441B">
      <w:pPr>
        <w:ind w:firstLine="567"/>
        <w:jc w:val="center"/>
        <w:rPr>
          <w:b/>
          <w:bCs/>
        </w:rPr>
      </w:pPr>
      <w:r w:rsidRPr="00966DF3">
        <w:rPr>
          <w:b/>
          <w:bCs/>
        </w:rPr>
        <w:t xml:space="preserve">HOTĂRÂREA nr.___ </w:t>
      </w:r>
    </w:p>
    <w:p w14:paraId="5BBFF3F4" w14:textId="77777777" w:rsidR="00D7441B" w:rsidRPr="00966DF3" w:rsidRDefault="00D7441B" w:rsidP="00D7441B">
      <w:pPr>
        <w:ind w:firstLine="567"/>
        <w:jc w:val="center"/>
        <w:rPr>
          <w:b/>
          <w:bCs/>
        </w:rPr>
      </w:pPr>
      <w:r w:rsidRPr="00966DF3">
        <w:rPr>
          <w:b/>
          <w:bCs/>
        </w:rPr>
        <w:t>din ___.________. 2023</w:t>
      </w:r>
    </w:p>
    <w:p w14:paraId="6DFEC3E9" w14:textId="77777777" w:rsidR="00D7441B" w:rsidRPr="00966DF3" w:rsidRDefault="00D7441B" w:rsidP="00D7441B">
      <w:pPr>
        <w:ind w:firstLine="567"/>
        <w:jc w:val="both"/>
        <w:rPr>
          <w:bCs/>
        </w:rPr>
      </w:pPr>
    </w:p>
    <w:p w14:paraId="61AEAD8A" w14:textId="77777777" w:rsidR="00D7441B" w:rsidRPr="00966DF3" w:rsidRDefault="00D7441B" w:rsidP="00D7441B">
      <w:pPr>
        <w:ind w:firstLine="600"/>
        <w:jc w:val="center"/>
        <w:rPr>
          <w:b/>
        </w:rPr>
      </w:pPr>
    </w:p>
    <w:p w14:paraId="5F3D6FBE" w14:textId="46E1A2E1" w:rsidR="00D7441B" w:rsidRPr="00966DF3" w:rsidRDefault="004E0079" w:rsidP="00D7441B">
      <w:pPr>
        <w:ind w:firstLine="600"/>
        <w:jc w:val="center"/>
        <w:rPr>
          <w:b/>
          <w:kern w:val="36"/>
        </w:rPr>
      </w:pPr>
      <w:r>
        <w:rPr>
          <w:b/>
          <w:kern w:val="36"/>
        </w:rPr>
        <w:t>Pentru</w:t>
      </w:r>
      <w:r w:rsidR="00D7441B" w:rsidRPr="00966DF3">
        <w:rPr>
          <w:b/>
          <w:kern w:val="36"/>
        </w:rPr>
        <w:t xml:space="preserve"> modificarea</w:t>
      </w:r>
      <w:r w:rsidR="00D7441B" w:rsidRPr="00966DF3">
        <w:t xml:space="preserve"> </w:t>
      </w:r>
      <w:r w:rsidR="00D7441B" w:rsidRPr="00966DF3">
        <w:rPr>
          <w:b/>
          <w:kern w:val="36"/>
        </w:rPr>
        <w:t xml:space="preserve">Regulamentului privind </w:t>
      </w:r>
      <w:proofErr w:type="spellStart"/>
      <w:r w:rsidR="00D7441B" w:rsidRPr="00966DF3">
        <w:rPr>
          <w:b/>
          <w:kern w:val="36"/>
        </w:rPr>
        <w:t>condiţiile</w:t>
      </w:r>
      <w:proofErr w:type="spellEnd"/>
    </w:p>
    <w:p w14:paraId="3A1AA5E4" w14:textId="1211F30A" w:rsidR="00D7441B" w:rsidRPr="00966DF3" w:rsidRDefault="00D7441B" w:rsidP="00D7441B">
      <w:pPr>
        <w:ind w:firstLine="600"/>
        <w:jc w:val="center"/>
        <w:rPr>
          <w:b/>
          <w:kern w:val="36"/>
        </w:rPr>
      </w:pPr>
      <w:r w:rsidRPr="00966DF3">
        <w:rPr>
          <w:b/>
          <w:kern w:val="36"/>
        </w:rPr>
        <w:t>şi modul de efectuare a operaţiunilor valutare</w:t>
      </w:r>
      <w:r w:rsidR="00C93A25" w:rsidRPr="00966DF3">
        <w:rPr>
          <w:b/>
          <w:kern w:val="36"/>
        </w:rPr>
        <w:t>, aprobat prin Hotărârea Comitetului executiv al Băncii Naționale a Moldovei</w:t>
      </w:r>
      <w:r w:rsidRPr="00966DF3">
        <w:rPr>
          <w:b/>
          <w:kern w:val="36"/>
        </w:rPr>
        <w:t xml:space="preserve"> nr.29/2018</w:t>
      </w:r>
    </w:p>
    <w:p w14:paraId="2B5AE2DD" w14:textId="77777777" w:rsidR="00D7441B" w:rsidRPr="00966DF3" w:rsidRDefault="00D7441B" w:rsidP="00D7441B">
      <w:pPr>
        <w:ind w:firstLine="600"/>
        <w:jc w:val="center"/>
        <w:rPr>
          <w:sz w:val="20"/>
        </w:rPr>
      </w:pPr>
    </w:p>
    <w:p w14:paraId="58BDF341" w14:textId="2AE0906E" w:rsidR="00D7441B" w:rsidRPr="00966DF3" w:rsidRDefault="00D7441B" w:rsidP="00D7441B">
      <w:pPr>
        <w:ind w:firstLine="600"/>
        <w:jc w:val="both"/>
      </w:pPr>
      <w:r w:rsidRPr="00966DF3">
        <w:t xml:space="preserve">În temeiul art.5 alin.(1) </w:t>
      </w:r>
      <w:proofErr w:type="spellStart"/>
      <w:r w:rsidRPr="00966DF3">
        <w:t>lit.l</w:t>
      </w:r>
      <w:proofErr w:type="spellEnd"/>
      <w:r w:rsidRPr="00966DF3">
        <w:t xml:space="preserve">), art.11 alin.(1), art.27, alin.(1) </w:t>
      </w:r>
      <w:proofErr w:type="spellStart"/>
      <w:r w:rsidRPr="00966DF3">
        <w:t>lit.c</w:t>
      </w:r>
      <w:proofErr w:type="spellEnd"/>
      <w:r w:rsidRPr="00966DF3">
        <w:t xml:space="preserve">) și art.51 </w:t>
      </w:r>
      <w:proofErr w:type="spellStart"/>
      <w:r w:rsidRPr="00966DF3">
        <w:t>lit.a</w:t>
      </w:r>
      <w:proofErr w:type="spellEnd"/>
      <w:r w:rsidRPr="00966DF3">
        <w:rPr>
          <w:lang w:val="ro-MD"/>
        </w:rPr>
        <w:t xml:space="preserve">) </w:t>
      </w:r>
      <w:r w:rsidRPr="00966DF3">
        <w:t>din Legea nr.548/1995 cu privire la Banca Naţională a Moldovei (republicată în Monitorul Oficial al Republicii Moldova, 2015, nr.297-300, art.544), cu modificările ulterioare, precum și art.25 alin.(1) şi (8)</w:t>
      </w:r>
      <w:r w:rsidR="00C71EAD" w:rsidRPr="00966DF3">
        <w:t xml:space="preserve"> </w:t>
      </w:r>
      <w:r w:rsidRPr="00966DF3">
        <w:t>din Legea nr.62/2008 privind reglementarea valutară (republicată în Monitorul Oficial al Republicii Moldova, 2016, nr.423-429, art.859), cu modificările ulterioare, Comitetul executiv al Băncii Naţionale a Moldovei</w:t>
      </w:r>
    </w:p>
    <w:p w14:paraId="0A29DC95" w14:textId="77777777" w:rsidR="00D7441B" w:rsidRPr="00966DF3" w:rsidRDefault="00D7441B" w:rsidP="00D7441B">
      <w:pPr>
        <w:ind w:firstLine="600"/>
        <w:jc w:val="both"/>
      </w:pPr>
    </w:p>
    <w:p w14:paraId="02FFFD0D" w14:textId="77777777" w:rsidR="00D7441B" w:rsidRPr="00966DF3" w:rsidRDefault="00D7441B" w:rsidP="00D7441B">
      <w:pPr>
        <w:ind w:firstLine="600"/>
        <w:jc w:val="both"/>
        <w:outlineLvl w:val="0"/>
        <w:rPr>
          <w:b/>
        </w:rPr>
      </w:pPr>
      <w:r w:rsidRPr="00966DF3">
        <w:rPr>
          <w:b/>
        </w:rPr>
        <w:t>HOTĂRĂŞTE:</w:t>
      </w:r>
    </w:p>
    <w:p w14:paraId="319B82B0" w14:textId="77777777" w:rsidR="00D7441B" w:rsidRPr="00966DF3" w:rsidRDefault="00D7441B" w:rsidP="00D7441B">
      <w:pPr>
        <w:ind w:firstLine="600"/>
        <w:jc w:val="both"/>
      </w:pPr>
    </w:p>
    <w:p w14:paraId="35F15ECD" w14:textId="3EFE21E9" w:rsidR="00D7441B" w:rsidRPr="00966DF3" w:rsidRDefault="00D7441B" w:rsidP="00D7441B">
      <w:pPr>
        <w:ind w:firstLine="600"/>
        <w:jc w:val="both"/>
        <w:rPr>
          <w:b/>
          <w:bCs/>
        </w:rPr>
      </w:pPr>
      <w:r w:rsidRPr="00966DF3">
        <w:rPr>
          <w:b/>
        </w:rPr>
        <w:t>I.</w:t>
      </w:r>
      <w:r w:rsidRPr="00966DF3">
        <w:t xml:space="preserve"> </w:t>
      </w:r>
      <w:r w:rsidRPr="00966DF3">
        <w:rPr>
          <w:b/>
        </w:rPr>
        <w:t xml:space="preserve">Regulamentul privind </w:t>
      </w:r>
      <w:proofErr w:type="spellStart"/>
      <w:r w:rsidRPr="00966DF3">
        <w:rPr>
          <w:b/>
        </w:rPr>
        <w:t>condiţiile</w:t>
      </w:r>
      <w:proofErr w:type="spellEnd"/>
      <w:r w:rsidRPr="00966DF3">
        <w:rPr>
          <w:b/>
        </w:rPr>
        <w:t xml:space="preserve"> </w:t>
      </w:r>
      <w:proofErr w:type="spellStart"/>
      <w:r w:rsidRPr="00966DF3">
        <w:rPr>
          <w:b/>
        </w:rPr>
        <w:t>şi</w:t>
      </w:r>
      <w:proofErr w:type="spellEnd"/>
      <w:r w:rsidRPr="00966DF3">
        <w:rPr>
          <w:b/>
        </w:rPr>
        <w:t xml:space="preserve"> modul de efectuare a operaţiunilor valutare nr.29/2018</w:t>
      </w:r>
      <w:r w:rsidR="006E2CB3" w:rsidRPr="00966DF3">
        <w:rPr>
          <w:b/>
        </w:rPr>
        <w:t>, aprobat prin Hotărârea Comitetului executiv al Băncii Naţionale a Moldovei nr.29/2018</w:t>
      </w:r>
      <w:r w:rsidRPr="00966DF3">
        <w:rPr>
          <w:b/>
          <w:bCs/>
        </w:rPr>
        <w:t xml:space="preserve"> (</w:t>
      </w:r>
      <w:r w:rsidR="0097548E" w:rsidRPr="00966DF3">
        <w:rPr>
          <w:b/>
          <w:bCs/>
        </w:rPr>
        <w:t>Monitorul Oficial al Republicii Moldova, 2018, nr. 68-76 art. 343</w:t>
      </w:r>
      <w:r w:rsidRPr="00966DF3">
        <w:rPr>
          <w:b/>
          <w:bCs/>
        </w:rPr>
        <w:t>), cu modificările ulterioare, înregistrat la Ministerul Justiției al Republicii Moldova cu nr.1</w:t>
      </w:r>
      <w:r w:rsidR="0097548E" w:rsidRPr="00966DF3">
        <w:rPr>
          <w:b/>
          <w:bCs/>
        </w:rPr>
        <w:t>29</w:t>
      </w:r>
      <w:r w:rsidRPr="00966DF3">
        <w:rPr>
          <w:b/>
          <w:bCs/>
        </w:rPr>
        <w:t xml:space="preserve">6 din </w:t>
      </w:r>
      <w:r w:rsidR="0097548E" w:rsidRPr="00966DF3">
        <w:rPr>
          <w:b/>
          <w:bCs/>
        </w:rPr>
        <w:t>19 februarie 2018</w:t>
      </w:r>
      <w:r w:rsidRPr="00966DF3">
        <w:rPr>
          <w:b/>
          <w:bCs/>
        </w:rPr>
        <w:t>, se modifică după cum urmează:</w:t>
      </w:r>
    </w:p>
    <w:p w14:paraId="07CEA62F" w14:textId="77777777" w:rsidR="00D7441B" w:rsidRPr="00966DF3" w:rsidRDefault="00D7441B" w:rsidP="00D7441B">
      <w:pPr>
        <w:ind w:firstLine="600"/>
        <w:jc w:val="both"/>
      </w:pPr>
    </w:p>
    <w:p w14:paraId="1DCA0609" w14:textId="3F3AC9AD" w:rsidR="00D7441B" w:rsidRPr="00966DF3" w:rsidRDefault="00D7441B" w:rsidP="00D7441B">
      <w:pPr>
        <w:ind w:firstLine="600"/>
        <w:jc w:val="both"/>
      </w:pPr>
      <w:r w:rsidRPr="00966DF3">
        <w:t>1. În clauza de adoptare, textul “Legea nr.548-XIII din 21 iulie 1995</w:t>
      </w:r>
      <w:r w:rsidR="006E2CB3" w:rsidRPr="00966DF3">
        <w:t xml:space="preserve">” </w:t>
      </w:r>
      <w:r w:rsidRPr="00966DF3">
        <w:t>se substituie cu textul “Legea nr.548/1995”</w:t>
      </w:r>
      <w:r w:rsidR="006E2CB3" w:rsidRPr="00966DF3">
        <w:t>, cuvintele ”și completările” se exclud</w:t>
      </w:r>
      <w:r w:rsidR="006E2CB3" w:rsidRPr="00966DF3">
        <w:rPr>
          <w:lang w:val="ro-MD"/>
        </w:rPr>
        <w:t>, iar textul ”Legea nr.62-XVI din 21 martie 2008” se substituie cu textul ”</w:t>
      </w:r>
      <w:r w:rsidR="006E2CB3" w:rsidRPr="00966DF3">
        <w:t>Legea nr.62/2008”</w:t>
      </w:r>
      <w:r w:rsidRPr="00966DF3">
        <w:t>.</w:t>
      </w:r>
    </w:p>
    <w:p w14:paraId="6A563A25" w14:textId="77777777" w:rsidR="00D7441B" w:rsidRPr="00966DF3" w:rsidRDefault="00D7441B" w:rsidP="00D7441B">
      <w:pPr>
        <w:ind w:firstLine="600"/>
        <w:jc w:val="both"/>
      </w:pPr>
    </w:p>
    <w:p w14:paraId="09018419" w14:textId="77777777" w:rsidR="00D7441B" w:rsidRPr="00966DF3" w:rsidRDefault="00D7441B" w:rsidP="00D7441B">
      <w:pPr>
        <w:ind w:firstLine="600"/>
        <w:jc w:val="both"/>
      </w:pPr>
      <w:r w:rsidRPr="00966DF3">
        <w:t>2. În textul Regulamentului:</w:t>
      </w:r>
    </w:p>
    <w:p w14:paraId="1A3560B7" w14:textId="77777777" w:rsidR="00D7441B" w:rsidRPr="00966DF3" w:rsidRDefault="00D7441B" w:rsidP="00D7441B">
      <w:pPr>
        <w:ind w:firstLine="600"/>
        <w:jc w:val="both"/>
      </w:pPr>
    </w:p>
    <w:p w14:paraId="0CCC17B6" w14:textId="77777777" w:rsidR="00D7441B" w:rsidRPr="00966DF3" w:rsidRDefault="00D7441B" w:rsidP="00D7441B">
      <w:pPr>
        <w:ind w:firstLine="600"/>
        <w:jc w:val="both"/>
      </w:pPr>
      <w:r w:rsidRPr="00966DF3">
        <w:t>1) În cuprinsul Regulamentului:</w:t>
      </w:r>
    </w:p>
    <w:p w14:paraId="0CB662AF" w14:textId="136C597A" w:rsidR="00D7441B" w:rsidRPr="00966DF3" w:rsidRDefault="0097548E" w:rsidP="00D7441B">
      <w:pPr>
        <w:ind w:firstLine="600"/>
        <w:jc w:val="both"/>
      </w:pPr>
      <w:bookmarkStart w:id="1" w:name="_Hlk127796184"/>
      <w:r w:rsidRPr="00966DF3">
        <w:t>textul</w:t>
      </w:r>
      <w:r w:rsidR="00D7441B" w:rsidRPr="00966DF3">
        <w:t xml:space="preserve"> </w:t>
      </w:r>
      <w:r w:rsidRPr="00966DF3">
        <w:t xml:space="preserve">„Legea </w:t>
      </w:r>
      <w:bookmarkEnd w:id="1"/>
      <w:r w:rsidRPr="00966DF3">
        <w:t>nr.62-XVI din 21 martie 2008”</w:t>
      </w:r>
      <w:r w:rsidR="00D7441B" w:rsidRPr="00966DF3">
        <w:t xml:space="preserve">, la orice formă gramaticală, se substituie cu </w:t>
      </w:r>
      <w:r w:rsidRPr="00966DF3">
        <w:t>textul</w:t>
      </w:r>
      <w:r w:rsidR="00D7441B" w:rsidRPr="00966DF3">
        <w:t xml:space="preserve"> </w:t>
      </w:r>
      <w:r w:rsidRPr="00966DF3">
        <w:t>„Legea nr.62/2008”</w:t>
      </w:r>
      <w:r w:rsidR="00D7441B" w:rsidRPr="00966DF3">
        <w:t xml:space="preserve"> la forma gramaticală corespunzătoare;</w:t>
      </w:r>
    </w:p>
    <w:p w14:paraId="3EB147A8" w14:textId="53FF53BE" w:rsidR="0097548E" w:rsidRPr="00966DF3" w:rsidRDefault="0097548E" w:rsidP="00D7441B">
      <w:pPr>
        <w:ind w:firstLine="600"/>
        <w:jc w:val="both"/>
      </w:pPr>
      <w:r w:rsidRPr="00966DF3">
        <w:t>textul „Legea nr.114 din 18 mai 201</w:t>
      </w:r>
      <w:r w:rsidR="00BC70A2" w:rsidRPr="00966DF3">
        <w:t>2</w:t>
      </w:r>
      <w:r w:rsidRPr="00966DF3">
        <w:t>”, la orice formă gramaticală, se substituie cu textul „Legea nr.114/2012” la forma gramaticală corespunzătoare;</w:t>
      </w:r>
    </w:p>
    <w:p w14:paraId="0AEA0D3C" w14:textId="619F1C1A" w:rsidR="00147688" w:rsidRPr="00966DF3" w:rsidRDefault="00147688" w:rsidP="00D7441B">
      <w:pPr>
        <w:ind w:firstLine="600"/>
        <w:jc w:val="both"/>
      </w:pPr>
      <w:r w:rsidRPr="00966DF3">
        <w:t xml:space="preserve">textul </w:t>
      </w:r>
      <w:bookmarkStart w:id="2" w:name="_Hlk127796746"/>
      <w:r w:rsidRPr="00966DF3">
        <w:t xml:space="preserve">„(sau echivalentul </w:t>
      </w:r>
      <w:bookmarkEnd w:id="2"/>
      <w:r w:rsidRPr="00966DF3">
        <w:t>lor)” se substituie cu textul „(sau echivalentul acestora)”;</w:t>
      </w:r>
    </w:p>
    <w:p w14:paraId="3005F1CE" w14:textId="77777777" w:rsidR="007E237D" w:rsidRPr="00966DF3" w:rsidRDefault="007E237D" w:rsidP="00D7441B">
      <w:pPr>
        <w:ind w:firstLine="600"/>
        <w:jc w:val="both"/>
      </w:pPr>
    </w:p>
    <w:p w14:paraId="74849123" w14:textId="3B4ADAD4" w:rsidR="00147688" w:rsidRPr="00966DF3" w:rsidRDefault="00147688" w:rsidP="00D7441B">
      <w:pPr>
        <w:ind w:firstLine="600"/>
        <w:jc w:val="both"/>
      </w:pPr>
      <w:r w:rsidRPr="00966DF3">
        <w:t xml:space="preserve">2) </w:t>
      </w:r>
      <w:r w:rsidR="007E237D" w:rsidRPr="00966DF3">
        <w:t xml:space="preserve">Punctul </w:t>
      </w:r>
      <w:r w:rsidRPr="00966DF3">
        <w:t>1:</w:t>
      </w:r>
    </w:p>
    <w:p w14:paraId="27AE1F19" w14:textId="2AF93C81" w:rsidR="00EB79CF" w:rsidRPr="00966DF3" w:rsidRDefault="00EB79CF" w:rsidP="00D7441B">
      <w:pPr>
        <w:ind w:firstLine="600"/>
        <w:jc w:val="both"/>
        <w:rPr>
          <w:lang w:val="ro-MD"/>
        </w:rPr>
      </w:pPr>
      <w:r w:rsidRPr="00966DF3">
        <w:t xml:space="preserve">se </w:t>
      </w:r>
      <w:proofErr w:type="spellStart"/>
      <w:r w:rsidRPr="00966DF3">
        <w:t>completeaz</w:t>
      </w:r>
      <w:proofErr w:type="spellEnd"/>
      <w:r w:rsidRPr="00966DF3">
        <w:rPr>
          <w:lang w:val="ro-MD"/>
        </w:rPr>
        <w:t>ă cu noțiunea „</w:t>
      </w:r>
      <w:r w:rsidR="00644459" w:rsidRPr="00966DF3">
        <w:rPr>
          <w:lang w:val="ro-MD"/>
        </w:rPr>
        <w:t>notificație</w:t>
      </w:r>
      <w:r w:rsidRPr="00966DF3">
        <w:rPr>
          <w:lang w:val="ro-MD"/>
        </w:rPr>
        <w:t>” cu următorul cuprins:</w:t>
      </w:r>
    </w:p>
    <w:p w14:paraId="36D108C7" w14:textId="74AC15AD" w:rsidR="00EB79CF" w:rsidRPr="00966DF3" w:rsidRDefault="00EB79CF" w:rsidP="00966DF3">
      <w:pPr>
        <w:ind w:firstLine="567"/>
        <w:jc w:val="both"/>
        <w:rPr>
          <w:lang w:val="ro-MD"/>
        </w:rPr>
      </w:pPr>
      <w:r w:rsidRPr="00966DF3">
        <w:rPr>
          <w:i/>
          <w:iCs/>
          <w:lang w:val="ro-MD"/>
        </w:rPr>
        <w:t>„</w:t>
      </w:r>
      <w:r w:rsidRPr="00966DF3">
        <w:rPr>
          <w:b/>
          <w:bCs/>
          <w:i/>
          <w:iCs/>
          <w:lang w:val="ro-MD"/>
        </w:rPr>
        <w:t>notificație</w:t>
      </w:r>
      <w:r w:rsidRPr="00966DF3">
        <w:rPr>
          <w:lang w:val="ro-MD"/>
        </w:rPr>
        <w:t xml:space="preserve"> – document, pe suport hârtie sau în formă electronică care confirmă luarea la evidență de către Banca Națională a Moldovei a angajamentului extern până la data de 19 iulie 2023</w:t>
      </w:r>
      <w:r w:rsidR="00DC3248" w:rsidRPr="00966DF3">
        <w:rPr>
          <w:lang w:val="ro-MD"/>
        </w:rPr>
        <w:t xml:space="preserve"> </w:t>
      </w:r>
      <w:bookmarkStart w:id="3" w:name="_Hlk132276062"/>
      <w:r w:rsidR="00DC3248" w:rsidRPr="00966DF3">
        <w:rPr>
          <w:lang w:val="ro-MD"/>
        </w:rPr>
        <w:t>(inclusiv)</w:t>
      </w:r>
      <w:bookmarkEnd w:id="3"/>
      <w:r w:rsidRPr="00966DF3">
        <w:rPr>
          <w:lang w:val="ro-MD"/>
        </w:rPr>
        <w:t>. Documentul pe suport hârtie conține semnătura olografă a rezidentului, precum și semnătura olografă a persoanei responsabile a Băncii Naționale a Moldovei și ștampila Băncii Naționale a Moldovei, iar în cazul documentului în formă electronică conține doar semnătura electronică a persoanei responsabile a Băncii Naționale a Moldovei, iar denumirea notificației în cauză va conține textul „(angajament extern luat la evidență)</w:t>
      </w:r>
      <w:r w:rsidR="00541F0F">
        <w:rPr>
          <w:lang w:val="ro-MD"/>
        </w:rPr>
        <w:t>;</w:t>
      </w:r>
      <w:r w:rsidRPr="00966DF3">
        <w:rPr>
          <w:lang w:val="ro-MD"/>
        </w:rPr>
        <w:t>”</w:t>
      </w:r>
      <w:r w:rsidR="004E0079">
        <w:rPr>
          <w:lang w:val="ro-MD"/>
        </w:rPr>
        <w:t>;</w:t>
      </w:r>
    </w:p>
    <w:p w14:paraId="4B315918" w14:textId="3BBB9E21" w:rsidR="00147688" w:rsidRPr="00966DF3" w:rsidRDefault="007E237D" w:rsidP="00D7441B">
      <w:pPr>
        <w:ind w:firstLine="600"/>
        <w:jc w:val="both"/>
      </w:pPr>
      <w:r w:rsidRPr="00966DF3">
        <w:t>la</w:t>
      </w:r>
      <w:r w:rsidR="00147688" w:rsidRPr="00966DF3">
        <w:t xml:space="preserve"> noțiunea „persoane juridice rezidente”</w:t>
      </w:r>
      <w:r w:rsidRPr="00966DF3">
        <w:t>,</w:t>
      </w:r>
      <w:r w:rsidR="00147688" w:rsidRPr="00966DF3">
        <w:t xml:space="preserve"> textul „</w:t>
      </w:r>
      <w:proofErr w:type="spellStart"/>
      <w:r w:rsidR="00147688" w:rsidRPr="00966DF3">
        <w:t>lit.b</w:t>
      </w:r>
      <w:proofErr w:type="spellEnd"/>
      <w:r w:rsidR="00147688" w:rsidRPr="00966DF3">
        <w:t>)-g)” se substituie cu textul „</w:t>
      </w:r>
      <w:proofErr w:type="spellStart"/>
      <w:r w:rsidR="00147688" w:rsidRPr="00966DF3">
        <w:t>lit.b</w:t>
      </w:r>
      <w:proofErr w:type="spellEnd"/>
      <w:r w:rsidR="00147688" w:rsidRPr="00966DF3">
        <w:t>), c), e)-g)”;</w:t>
      </w:r>
    </w:p>
    <w:p w14:paraId="0393B522" w14:textId="0B463924" w:rsidR="00147688" w:rsidRPr="00966DF3" w:rsidRDefault="007E237D" w:rsidP="00D7441B">
      <w:pPr>
        <w:ind w:firstLine="600"/>
        <w:jc w:val="both"/>
      </w:pPr>
      <w:r w:rsidRPr="00966DF3">
        <w:lastRenderedPageBreak/>
        <w:t xml:space="preserve">la </w:t>
      </w:r>
      <w:r w:rsidR="00147688" w:rsidRPr="00966DF3">
        <w:t>noțiunea „persoane juridice nerezidente”</w:t>
      </w:r>
      <w:r w:rsidRPr="00966DF3">
        <w:t>,</w:t>
      </w:r>
      <w:r w:rsidR="00147688" w:rsidRPr="00966DF3">
        <w:t xml:space="preserve"> textul „</w:t>
      </w:r>
      <w:proofErr w:type="spellStart"/>
      <w:r w:rsidR="00147688" w:rsidRPr="00966DF3">
        <w:t>lit.b</w:t>
      </w:r>
      <w:proofErr w:type="spellEnd"/>
      <w:r w:rsidR="00147688" w:rsidRPr="00966DF3">
        <w:t xml:space="preserve">)-i)” </w:t>
      </w:r>
      <w:bookmarkStart w:id="4" w:name="_Hlk127797420"/>
      <w:r w:rsidR="00147688" w:rsidRPr="00966DF3">
        <w:t xml:space="preserve">se substituie cu textul </w:t>
      </w:r>
      <w:bookmarkEnd w:id="4"/>
      <w:r w:rsidR="00147688" w:rsidRPr="00966DF3">
        <w:t>„</w:t>
      </w:r>
      <w:proofErr w:type="spellStart"/>
      <w:r w:rsidR="00147688" w:rsidRPr="00966DF3">
        <w:t>lit.b</w:t>
      </w:r>
      <w:proofErr w:type="spellEnd"/>
      <w:r w:rsidR="00147688" w:rsidRPr="00966DF3">
        <w:t>)-d), f)-i)”;</w:t>
      </w:r>
    </w:p>
    <w:p w14:paraId="34B752EE" w14:textId="2BD3F196" w:rsidR="00606480" w:rsidRPr="00966DF3" w:rsidRDefault="00606480" w:rsidP="00D7441B">
      <w:pPr>
        <w:ind w:firstLine="600"/>
        <w:jc w:val="both"/>
      </w:pPr>
      <w:r w:rsidRPr="00966DF3">
        <w:t>s</w:t>
      </w:r>
      <w:r w:rsidR="00EB79CF" w:rsidRPr="00966DF3">
        <w:t>e completează cu următorul text:</w:t>
      </w:r>
    </w:p>
    <w:p w14:paraId="200AD26D" w14:textId="608D8C92" w:rsidR="00BC70A2" w:rsidRPr="00541F0F" w:rsidRDefault="00EB79CF" w:rsidP="00D7441B">
      <w:pPr>
        <w:ind w:firstLine="600"/>
        <w:jc w:val="both"/>
      </w:pPr>
      <w:r w:rsidRPr="00966DF3">
        <w:t>„</w:t>
      </w:r>
      <w:bookmarkStart w:id="5" w:name="_Hlk132196828"/>
      <w:proofErr w:type="spellStart"/>
      <w:r w:rsidR="00644459" w:rsidRPr="00966DF3">
        <w:t>N</w:t>
      </w:r>
      <w:r w:rsidRPr="00966DF3">
        <w:t>oţiunile</w:t>
      </w:r>
      <w:proofErr w:type="spellEnd"/>
      <w:r w:rsidRPr="00966DF3">
        <w:t xml:space="preserve"> de “angajamente externe”</w:t>
      </w:r>
      <w:r w:rsidR="00644459" w:rsidRPr="00966DF3">
        <w:t xml:space="preserve"> și </w:t>
      </w:r>
      <w:r w:rsidRPr="00966DF3">
        <w:t xml:space="preserve">„confirmarea BNM” au </w:t>
      </w:r>
      <w:proofErr w:type="spellStart"/>
      <w:r w:rsidRPr="00966DF3">
        <w:t>semnificaţiile</w:t>
      </w:r>
      <w:proofErr w:type="spellEnd"/>
      <w:r w:rsidRPr="00966DF3">
        <w:t xml:space="preserve"> definite de </w:t>
      </w:r>
      <w:proofErr w:type="spellStart"/>
      <w:r w:rsidRPr="00966DF3">
        <w:t>Instrucţiunea</w:t>
      </w:r>
      <w:proofErr w:type="spellEnd"/>
      <w:r w:rsidRPr="00966DF3">
        <w:t xml:space="preserve"> privind notificarea angajamentelor externe</w:t>
      </w:r>
      <w:r w:rsidR="00606480" w:rsidRPr="00966DF3">
        <w:t xml:space="preserve">, </w:t>
      </w:r>
      <w:r w:rsidR="00606480" w:rsidRPr="00541F0F">
        <w:t>aprobat</w:t>
      </w:r>
      <w:r w:rsidR="004E0079" w:rsidRPr="00541F0F">
        <w:t>ă</w:t>
      </w:r>
      <w:r w:rsidR="00606480" w:rsidRPr="00541F0F">
        <w:t xml:space="preserve"> prin Hotărârea Comitetului executiv al Băncii Naţionale a Moldovei nr.12/2020 (în continuare – </w:t>
      </w:r>
      <w:proofErr w:type="spellStart"/>
      <w:r w:rsidR="00606480" w:rsidRPr="00541F0F">
        <w:t>Instrucţiunea</w:t>
      </w:r>
      <w:proofErr w:type="spellEnd"/>
      <w:r w:rsidR="00606480" w:rsidRPr="00541F0F">
        <w:t xml:space="preserve"> privind notificarea angajamentelor externe)</w:t>
      </w:r>
      <w:r w:rsidRPr="00541F0F">
        <w:t>.”</w:t>
      </w:r>
      <w:bookmarkEnd w:id="5"/>
      <w:r w:rsidR="004E0079" w:rsidRPr="00541F0F">
        <w:t>;</w:t>
      </w:r>
    </w:p>
    <w:p w14:paraId="107910C5" w14:textId="52F4547A" w:rsidR="00AB3021" w:rsidRPr="00966DF3" w:rsidRDefault="00AB3021" w:rsidP="00D7441B">
      <w:pPr>
        <w:ind w:firstLine="600"/>
        <w:jc w:val="both"/>
      </w:pPr>
    </w:p>
    <w:p w14:paraId="02599B39" w14:textId="6146C318" w:rsidR="00AB3021" w:rsidRPr="00966DF3" w:rsidRDefault="00AB3021" w:rsidP="00D7441B">
      <w:pPr>
        <w:ind w:firstLine="600"/>
        <w:jc w:val="both"/>
      </w:pPr>
      <w:r w:rsidRPr="00966DF3">
        <w:t xml:space="preserve">3) </w:t>
      </w:r>
      <w:r w:rsidR="0050305D" w:rsidRPr="00966DF3">
        <w:t>La p</w:t>
      </w:r>
      <w:r w:rsidRPr="00966DF3">
        <w:t>unctul 2</w:t>
      </w:r>
      <w:r w:rsidR="0050305D" w:rsidRPr="00966DF3">
        <w:t>,</w:t>
      </w:r>
      <w:r w:rsidRPr="00966DF3">
        <w:t xml:space="preserve"> lit</w:t>
      </w:r>
      <w:r w:rsidR="0050305D" w:rsidRPr="00966DF3">
        <w:t xml:space="preserve">era </w:t>
      </w:r>
      <w:r w:rsidRPr="00966DF3">
        <w:t>b) va avea următorul cuprins:</w:t>
      </w:r>
    </w:p>
    <w:p w14:paraId="1F896B25" w14:textId="2AF2418C" w:rsidR="00AB3021" w:rsidRPr="00966DF3" w:rsidRDefault="00AB3021" w:rsidP="00D7441B">
      <w:pPr>
        <w:ind w:firstLine="600"/>
        <w:jc w:val="both"/>
      </w:pPr>
      <w:r w:rsidRPr="00966DF3">
        <w:t xml:space="preserve">„b) prestatorii de servicii de plată </w:t>
      </w:r>
      <w:proofErr w:type="spellStart"/>
      <w:r w:rsidRPr="00966DF3">
        <w:t>enumeraţi</w:t>
      </w:r>
      <w:proofErr w:type="spellEnd"/>
      <w:r w:rsidRPr="00966DF3">
        <w:t xml:space="preserve"> la art.5 alin.(1) </w:t>
      </w:r>
      <w:proofErr w:type="spellStart"/>
      <w:r w:rsidRPr="00966DF3">
        <w:t>lit.b</w:t>
      </w:r>
      <w:proofErr w:type="spellEnd"/>
      <w:r w:rsidRPr="00966DF3">
        <w:t>)-d) din Legea nr.114</w:t>
      </w:r>
      <w:r w:rsidR="0050305D" w:rsidRPr="00966DF3">
        <w:rPr>
          <w:lang w:val="it-IT"/>
        </w:rPr>
        <w:t>/</w:t>
      </w:r>
      <w:r w:rsidRPr="00966DF3">
        <w:t>2012 (</w:t>
      </w:r>
      <w:proofErr w:type="spellStart"/>
      <w:r w:rsidRPr="00966DF3">
        <w:t>denumiţi</w:t>
      </w:r>
      <w:proofErr w:type="spellEnd"/>
      <w:r w:rsidRPr="00966DF3">
        <w:t xml:space="preserve"> în continuare - prestatori SPR nebancari).”</w:t>
      </w:r>
      <w:r w:rsidR="00026655">
        <w:t>;</w:t>
      </w:r>
    </w:p>
    <w:p w14:paraId="39886349" w14:textId="77777777" w:rsidR="00AB3021" w:rsidRPr="00966DF3" w:rsidRDefault="00AB3021" w:rsidP="00D7441B">
      <w:pPr>
        <w:ind w:firstLine="600"/>
        <w:jc w:val="both"/>
      </w:pPr>
    </w:p>
    <w:p w14:paraId="1DA85006" w14:textId="57A1B2EE" w:rsidR="00AB3021" w:rsidRPr="00966DF3" w:rsidRDefault="00AB3021" w:rsidP="00D7441B">
      <w:pPr>
        <w:ind w:firstLine="600"/>
        <w:jc w:val="both"/>
      </w:pPr>
      <w:r w:rsidRPr="00966DF3">
        <w:t xml:space="preserve">4) </w:t>
      </w:r>
      <w:r w:rsidR="00DC3248" w:rsidRPr="00966DF3">
        <w:t>La</w:t>
      </w:r>
      <w:r w:rsidR="002449F1" w:rsidRPr="00966DF3">
        <w:t xml:space="preserve"> p</w:t>
      </w:r>
      <w:r w:rsidR="00B17A6F" w:rsidRPr="00966DF3">
        <w:t>unctul 10</w:t>
      </w:r>
      <w:r w:rsidR="00DC3248" w:rsidRPr="00966DF3">
        <w:t>,</w:t>
      </w:r>
      <w:r w:rsidR="00B17A6F" w:rsidRPr="00966DF3">
        <w:t xml:space="preserve"> </w:t>
      </w:r>
      <w:r w:rsidR="002449F1" w:rsidRPr="00966DF3">
        <w:t xml:space="preserve">textul „bancomatelor, dispozitivelor de </w:t>
      </w:r>
      <w:proofErr w:type="spellStart"/>
      <w:r w:rsidR="002449F1" w:rsidRPr="00966DF3">
        <w:t>comunicaţie</w:t>
      </w:r>
      <w:proofErr w:type="spellEnd"/>
      <w:r w:rsidR="002449F1" w:rsidRPr="00966DF3">
        <w:t xml:space="preserve"> electronică, digitale sau informatice, inclusiv terminale de plată în numerar (terminale cash-in)” se substituie cu textul „dispozitiv care poate fi folosit pentru comunicație la distanță</w:t>
      </w:r>
      <w:r w:rsidR="00DC3248" w:rsidRPr="00966DF3">
        <w:t xml:space="preserve"> </w:t>
      </w:r>
      <w:r w:rsidR="002449F1" w:rsidRPr="00966DF3">
        <w:t>(terminale, telefoane etc.)”</w:t>
      </w:r>
      <w:r w:rsidR="004E0079">
        <w:t>;</w:t>
      </w:r>
    </w:p>
    <w:p w14:paraId="00954280" w14:textId="77777777" w:rsidR="00B17A6F" w:rsidRPr="00966DF3" w:rsidRDefault="00B17A6F" w:rsidP="00D7441B">
      <w:pPr>
        <w:ind w:firstLine="600"/>
        <w:jc w:val="both"/>
      </w:pPr>
    </w:p>
    <w:p w14:paraId="643CC40E" w14:textId="377D0064" w:rsidR="00BC70A2" w:rsidRPr="00966DF3" w:rsidRDefault="002449F1" w:rsidP="00D7441B">
      <w:pPr>
        <w:ind w:firstLine="600"/>
        <w:jc w:val="both"/>
        <w:rPr>
          <w:lang w:val="ro-MD"/>
        </w:rPr>
      </w:pPr>
      <w:r w:rsidRPr="00966DF3">
        <w:t>5</w:t>
      </w:r>
      <w:r w:rsidR="00BC70A2" w:rsidRPr="00966DF3">
        <w:t xml:space="preserve">) Punctul 16 se </w:t>
      </w:r>
      <w:proofErr w:type="spellStart"/>
      <w:r w:rsidR="00BC70A2" w:rsidRPr="00966DF3">
        <w:t>completeaz</w:t>
      </w:r>
      <w:proofErr w:type="spellEnd"/>
      <w:r w:rsidR="00BC70A2" w:rsidRPr="00966DF3">
        <w:rPr>
          <w:lang w:val="ro-MD"/>
        </w:rPr>
        <w:t>ă cu textul „(în continuare – autorizațiilor BNM)”</w:t>
      </w:r>
      <w:r w:rsidR="0038527B" w:rsidRPr="00966DF3">
        <w:rPr>
          <w:lang w:val="ro-MD"/>
        </w:rPr>
        <w:t>;</w:t>
      </w:r>
    </w:p>
    <w:p w14:paraId="6B92A1FB" w14:textId="399758CD" w:rsidR="0038527B" w:rsidRPr="00966DF3" w:rsidRDefault="0038527B" w:rsidP="00D7441B">
      <w:pPr>
        <w:ind w:firstLine="600"/>
        <w:jc w:val="both"/>
        <w:rPr>
          <w:lang w:val="ro-MD"/>
        </w:rPr>
      </w:pPr>
    </w:p>
    <w:p w14:paraId="7E367ED8" w14:textId="1AFD078E" w:rsidR="0038527B" w:rsidRPr="00966DF3" w:rsidRDefault="002449F1" w:rsidP="00D7441B">
      <w:pPr>
        <w:ind w:firstLine="600"/>
        <w:jc w:val="both"/>
        <w:rPr>
          <w:lang w:val="ro-MD"/>
        </w:rPr>
      </w:pPr>
      <w:r w:rsidRPr="00966DF3">
        <w:rPr>
          <w:lang w:val="ro-MD"/>
        </w:rPr>
        <w:t>6</w:t>
      </w:r>
      <w:r w:rsidR="0038527B" w:rsidRPr="00966DF3">
        <w:rPr>
          <w:lang w:val="ro-MD"/>
        </w:rPr>
        <w:t xml:space="preserve">) </w:t>
      </w:r>
      <w:bookmarkStart w:id="6" w:name="_Hlk130826625"/>
      <w:r w:rsidR="004E0079">
        <w:rPr>
          <w:lang w:val="ro-MD"/>
        </w:rPr>
        <w:t>La p</w:t>
      </w:r>
      <w:r w:rsidR="0038527B" w:rsidRPr="00966DF3">
        <w:rPr>
          <w:lang w:val="ro-MD"/>
        </w:rPr>
        <w:t>unctul 21 subpunctul 4)</w:t>
      </w:r>
      <w:r w:rsidR="00A00FDC" w:rsidRPr="00966DF3">
        <w:rPr>
          <w:lang w:val="ro-MD"/>
        </w:rPr>
        <w:t>,</w:t>
      </w:r>
      <w:r w:rsidR="0038527B" w:rsidRPr="00966DF3">
        <w:rPr>
          <w:lang w:val="ro-MD"/>
        </w:rPr>
        <w:t xml:space="preserve"> textul „a notificației /autorizației corespunzătoare”</w:t>
      </w:r>
      <w:r w:rsidR="008079F0" w:rsidRPr="00966DF3">
        <w:t xml:space="preserve"> </w:t>
      </w:r>
      <w:r w:rsidR="008079F0" w:rsidRPr="00966DF3">
        <w:rPr>
          <w:lang w:val="ro-MD"/>
        </w:rPr>
        <w:t xml:space="preserve">se substituie cu textul „a </w:t>
      </w:r>
      <w:proofErr w:type="spellStart"/>
      <w:r w:rsidR="008079F0" w:rsidRPr="00966DF3">
        <w:rPr>
          <w:lang w:val="ro-MD"/>
        </w:rPr>
        <w:t>notificaţiei</w:t>
      </w:r>
      <w:proofErr w:type="spellEnd"/>
      <w:r w:rsidR="008079F0" w:rsidRPr="00966DF3">
        <w:rPr>
          <w:lang w:val="ro-MD"/>
        </w:rPr>
        <w:t xml:space="preserve"> /confirmării BNM /</w:t>
      </w:r>
      <w:proofErr w:type="spellStart"/>
      <w:r w:rsidR="008079F0" w:rsidRPr="00966DF3">
        <w:rPr>
          <w:lang w:val="ro-MD"/>
        </w:rPr>
        <w:t>autorizaţiei</w:t>
      </w:r>
      <w:proofErr w:type="spellEnd"/>
      <w:r w:rsidR="008079F0" w:rsidRPr="00966DF3">
        <w:rPr>
          <w:lang w:val="ro-MD"/>
        </w:rPr>
        <w:t xml:space="preserve"> BNM corespunzătoare”;</w:t>
      </w:r>
    </w:p>
    <w:bookmarkEnd w:id="6"/>
    <w:p w14:paraId="77406C07" w14:textId="77777777" w:rsidR="007E237D" w:rsidRPr="00966DF3" w:rsidRDefault="007E237D" w:rsidP="00D7441B">
      <w:pPr>
        <w:ind w:firstLine="600"/>
        <w:jc w:val="both"/>
      </w:pPr>
    </w:p>
    <w:p w14:paraId="3504E485" w14:textId="57094C5C" w:rsidR="00FB1BCA" w:rsidRPr="00966DF3" w:rsidRDefault="002449F1" w:rsidP="00D7441B">
      <w:pPr>
        <w:ind w:firstLine="600"/>
        <w:jc w:val="both"/>
      </w:pPr>
      <w:r w:rsidRPr="00966DF3">
        <w:t>7</w:t>
      </w:r>
      <w:r w:rsidR="00FB1BCA" w:rsidRPr="00966DF3">
        <w:t xml:space="preserve">) </w:t>
      </w:r>
      <w:bookmarkStart w:id="7" w:name="_Hlk127876484"/>
      <w:r w:rsidR="004E0079">
        <w:t>La p</w:t>
      </w:r>
      <w:r w:rsidR="007E237D" w:rsidRPr="00966DF3">
        <w:t xml:space="preserve">unctul </w:t>
      </w:r>
      <w:bookmarkEnd w:id="7"/>
      <w:r w:rsidR="008D0E2A" w:rsidRPr="00966DF3">
        <w:t xml:space="preserve">39 </w:t>
      </w:r>
      <w:r w:rsidR="00404B21" w:rsidRPr="00966DF3">
        <w:t xml:space="preserve">subpunctul </w:t>
      </w:r>
      <w:r w:rsidR="008D0380" w:rsidRPr="00966DF3">
        <w:t xml:space="preserve">1) </w:t>
      </w:r>
      <w:r w:rsidR="007E237D" w:rsidRPr="00966DF3">
        <w:t xml:space="preserve">litera </w:t>
      </w:r>
      <w:r w:rsidR="00FE5701" w:rsidRPr="00966DF3">
        <w:t>c</w:t>
      </w:r>
      <w:r w:rsidR="00FB1BCA" w:rsidRPr="00966DF3">
        <w:t>)</w:t>
      </w:r>
      <w:r w:rsidR="008D0380" w:rsidRPr="00966DF3">
        <w:t>,</w:t>
      </w:r>
      <w:r w:rsidR="00FE5701" w:rsidRPr="00966DF3">
        <w:t xml:space="preserve"> după cuv</w:t>
      </w:r>
      <w:r w:rsidR="00381C6C" w:rsidRPr="00966DF3">
        <w:t>ântul</w:t>
      </w:r>
      <w:r w:rsidR="00FE5701" w:rsidRPr="00966DF3">
        <w:t xml:space="preserve"> </w:t>
      </w:r>
      <w:r w:rsidR="00CF1D43" w:rsidRPr="00966DF3">
        <w:t>„acordarea” se completează cu cuvintele „și rambursarea”</w:t>
      </w:r>
      <w:r w:rsidR="00FB1BCA" w:rsidRPr="00966DF3">
        <w:t>;</w:t>
      </w:r>
    </w:p>
    <w:p w14:paraId="38928452" w14:textId="7D8D2650" w:rsidR="00793462" w:rsidRPr="00966DF3" w:rsidRDefault="00793462" w:rsidP="00D7441B">
      <w:pPr>
        <w:ind w:firstLine="600"/>
        <w:jc w:val="both"/>
      </w:pPr>
    </w:p>
    <w:p w14:paraId="2B03D3A9" w14:textId="4C0D6D95" w:rsidR="008079F0" w:rsidRPr="00966DF3" w:rsidRDefault="002449F1" w:rsidP="00D7441B">
      <w:pPr>
        <w:ind w:firstLine="600"/>
        <w:jc w:val="both"/>
      </w:pPr>
      <w:r w:rsidRPr="00966DF3">
        <w:t>8</w:t>
      </w:r>
      <w:r w:rsidR="008079F0" w:rsidRPr="00966DF3">
        <w:t>) Punctul 52 subpunctul 4)</w:t>
      </w:r>
      <w:r w:rsidR="00381C6C" w:rsidRPr="00966DF3">
        <w:t>,</w:t>
      </w:r>
      <w:r w:rsidR="008079F0" w:rsidRPr="00966DF3">
        <w:t xml:space="preserve"> </w:t>
      </w:r>
      <w:r w:rsidR="00261E7A" w:rsidRPr="00966DF3">
        <w:t xml:space="preserve">după cuvântul „autorizaţiei” </w:t>
      </w:r>
      <w:r w:rsidR="004C5F63" w:rsidRPr="00966DF3">
        <w:t xml:space="preserve">se completează </w:t>
      </w:r>
      <w:r w:rsidR="00261E7A" w:rsidRPr="00966DF3">
        <w:t>cu acronimul „BNM”;</w:t>
      </w:r>
    </w:p>
    <w:p w14:paraId="2E98E5F5" w14:textId="7393F21F" w:rsidR="00261E7A" w:rsidRPr="00966DF3" w:rsidRDefault="00261E7A" w:rsidP="00D7441B">
      <w:pPr>
        <w:ind w:firstLine="600"/>
        <w:jc w:val="both"/>
      </w:pPr>
    </w:p>
    <w:p w14:paraId="0DBC73E5" w14:textId="4DDCC774" w:rsidR="00261E7A" w:rsidRPr="00966DF3" w:rsidRDefault="002449F1" w:rsidP="00D7441B">
      <w:pPr>
        <w:ind w:firstLine="600"/>
        <w:jc w:val="both"/>
      </w:pPr>
      <w:r w:rsidRPr="00966DF3">
        <w:t>9</w:t>
      </w:r>
      <w:r w:rsidR="00261E7A" w:rsidRPr="00966DF3">
        <w:t xml:space="preserve">) </w:t>
      </w:r>
      <w:bookmarkStart w:id="8" w:name="_Hlk130826781"/>
      <w:r w:rsidR="004E0079">
        <w:t>La p</w:t>
      </w:r>
      <w:r w:rsidR="00261E7A" w:rsidRPr="00966DF3">
        <w:t>unctul 63 subpunctul 4)</w:t>
      </w:r>
      <w:r w:rsidR="004E0079">
        <w:t>,</w:t>
      </w:r>
      <w:r w:rsidR="00261E7A" w:rsidRPr="00966DF3">
        <w:t xml:space="preserve"> </w:t>
      </w:r>
      <w:bookmarkEnd w:id="8"/>
      <w:r w:rsidR="00261E7A" w:rsidRPr="00966DF3">
        <w:t xml:space="preserve">textul „a notificației /autorizației corespunzătoare” </w:t>
      </w:r>
      <w:bookmarkStart w:id="9" w:name="_Hlk130827522"/>
      <w:r w:rsidR="00261E7A" w:rsidRPr="00966DF3">
        <w:t>se substituie cu textul „</w:t>
      </w:r>
      <w:bookmarkStart w:id="10" w:name="_Hlk130888202"/>
      <w:r w:rsidR="00261E7A" w:rsidRPr="00966DF3">
        <w:t xml:space="preserve">a </w:t>
      </w:r>
      <w:proofErr w:type="spellStart"/>
      <w:r w:rsidR="00261E7A" w:rsidRPr="00966DF3">
        <w:t>notificaţiei</w:t>
      </w:r>
      <w:proofErr w:type="spellEnd"/>
      <w:r w:rsidR="00261E7A" w:rsidRPr="00966DF3">
        <w:t xml:space="preserve"> /confirmării BNM /</w:t>
      </w:r>
      <w:proofErr w:type="spellStart"/>
      <w:r w:rsidR="00261E7A" w:rsidRPr="00966DF3">
        <w:t>autorizaţiei</w:t>
      </w:r>
      <w:proofErr w:type="spellEnd"/>
      <w:r w:rsidR="00261E7A" w:rsidRPr="00966DF3">
        <w:t xml:space="preserve"> BNM corespunzătoare</w:t>
      </w:r>
      <w:bookmarkEnd w:id="10"/>
      <w:r w:rsidR="00261E7A" w:rsidRPr="00966DF3">
        <w:t>”;</w:t>
      </w:r>
    </w:p>
    <w:bookmarkEnd w:id="9"/>
    <w:p w14:paraId="7C022396" w14:textId="77777777" w:rsidR="00261E7A" w:rsidRPr="00966DF3" w:rsidRDefault="00261E7A" w:rsidP="00D7441B">
      <w:pPr>
        <w:ind w:firstLine="600"/>
        <w:jc w:val="both"/>
      </w:pPr>
    </w:p>
    <w:p w14:paraId="411A736A" w14:textId="47EB6423" w:rsidR="00FB1BCA" w:rsidRPr="00966DF3" w:rsidRDefault="002449F1" w:rsidP="00D7441B">
      <w:pPr>
        <w:ind w:firstLine="600"/>
        <w:jc w:val="both"/>
      </w:pPr>
      <w:r w:rsidRPr="00966DF3">
        <w:t>10</w:t>
      </w:r>
      <w:r w:rsidR="00FB1BCA" w:rsidRPr="00966DF3">
        <w:t xml:space="preserve">) </w:t>
      </w:r>
      <w:r w:rsidR="006478D6" w:rsidRPr="00966DF3">
        <w:t>P</w:t>
      </w:r>
      <w:r w:rsidR="00CF1D43" w:rsidRPr="00966DF3">
        <w:t xml:space="preserve">unctul </w:t>
      </w:r>
      <w:r w:rsidR="00FB1BCA" w:rsidRPr="00966DF3">
        <w:t>70</w:t>
      </w:r>
      <w:r w:rsidR="008D0380" w:rsidRPr="00966DF3">
        <w:t>:</w:t>
      </w:r>
    </w:p>
    <w:p w14:paraId="32727116" w14:textId="023E5BAC" w:rsidR="00FB1BCA" w:rsidRPr="00966DF3" w:rsidRDefault="006478D6" w:rsidP="00D7441B">
      <w:pPr>
        <w:ind w:firstLine="600"/>
        <w:jc w:val="both"/>
      </w:pPr>
      <w:r w:rsidRPr="00966DF3">
        <w:t xml:space="preserve">la </w:t>
      </w:r>
      <w:r w:rsidR="00FB1BCA" w:rsidRPr="00966DF3">
        <w:t>lit</w:t>
      </w:r>
      <w:r w:rsidR="00CF1D43" w:rsidRPr="00966DF3">
        <w:t xml:space="preserve">era </w:t>
      </w:r>
      <w:r w:rsidR="00FB1BCA" w:rsidRPr="00966DF3">
        <w:t>a)</w:t>
      </w:r>
      <w:r w:rsidR="008D0380" w:rsidRPr="00966DF3">
        <w:t>,</w:t>
      </w:r>
      <w:r w:rsidR="00FB1BCA" w:rsidRPr="00966DF3">
        <w:t xml:space="preserve"> </w:t>
      </w:r>
      <w:bookmarkStart w:id="11" w:name="_Hlk127797175"/>
      <w:r w:rsidR="00FB1BCA" w:rsidRPr="00966DF3">
        <w:t xml:space="preserve">cuvintele „instituția financiară din străinătate” se substituie </w:t>
      </w:r>
      <w:r w:rsidR="003D7702" w:rsidRPr="00966DF3">
        <w:t xml:space="preserve">cu </w:t>
      </w:r>
      <w:r w:rsidR="00FB1BCA" w:rsidRPr="00966DF3">
        <w:t>cuvintele „banca nerezidentă”;</w:t>
      </w:r>
    </w:p>
    <w:bookmarkEnd w:id="11"/>
    <w:p w14:paraId="61696BCB" w14:textId="7A8B1B1D" w:rsidR="00FB1BCA" w:rsidRPr="00966DF3" w:rsidRDefault="006478D6" w:rsidP="00D7441B">
      <w:pPr>
        <w:ind w:firstLine="600"/>
        <w:jc w:val="both"/>
      </w:pPr>
      <w:r w:rsidRPr="00966DF3">
        <w:t xml:space="preserve">la </w:t>
      </w:r>
      <w:r w:rsidR="00FB1BCA" w:rsidRPr="00966DF3">
        <w:t>lit</w:t>
      </w:r>
      <w:r w:rsidR="00583C61" w:rsidRPr="00966DF3">
        <w:t xml:space="preserve">era </w:t>
      </w:r>
      <w:r w:rsidR="00FB1BCA" w:rsidRPr="00966DF3">
        <w:t>d)</w:t>
      </w:r>
      <w:r w:rsidR="008D0380" w:rsidRPr="00966DF3">
        <w:t>,</w:t>
      </w:r>
      <w:r w:rsidR="00FB1BCA" w:rsidRPr="00966DF3">
        <w:t xml:space="preserve"> cuvintele „instituțiile financiare din străinătate” se substituie </w:t>
      </w:r>
      <w:r w:rsidR="003D7702" w:rsidRPr="00966DF3">
        <w:t xml:space="preserve">cu </w:t>
      </w:r>
      <w:r w:rsidR="00FB1BCA" w:rsidRPr="00966DF3">
        <w:t>cuvintele „băncile nerezidente”</w:t>
      </w:r>
      <w:r w:rsidR="00261E7A" w:rsidRPr="00966DF3">
        <w:t xml:space="preserve">, iar </w:t>
      </w:r>
      <w:bookmarkStart w:id="12" w:name="_Hlk130827077"/>
      <w:r w:rsidR="00261E7A" w:rsidRPr="00966DF3">
        <w:t>cuvintele „eliberate de” se exclud</w:t>
      </w:r>
      <w:bookmarkEnd w:id="12"/>
      <w:r w:rsidR="00FB1BCA" w:rsidRPr="00966DF3">
        <w:t>;</w:t>
      </w:r>
    </w:p>
    <w:p w14:paraId="19809392" w14:textId="77777777" w:rsidR="00793462" w:rsidRPr="00966DF3" w:rsidRDefault="00793462" w:rsidP="00D7441B">
      <w:pPr>
        <w:ind w:firstLine="600"/>
        <w:jc w:val="both"/>
      </w:pPr>
    </w:p>
    <w:p w14:paraId="41FA7197" w14:textId="2C6D6D9B" w:rsidR="00FB1BCA" w:rsidRPr="00966DF3" w:rsidRDefault="002449F1" w:rsidP="00D7441B">
      <w:pPr>
        <w:ind w:firstLine="600"/>
        <w:jc w:val="both"/>
      </w:pPr>
      <w:r w:rsidRPr="00966DF3">
        <w:t>11</w:t>
      </w:r>
      <w:r w:rsidR="00FB1BCA" w:rsidRPr="00966DF3">
        <w:t xml:space="preserve">) La </w:t>
      </w:r>
      <w:r w:rsidR="00CF1D43" w:rsidRPr="00966DF3">
        <w:t xml:space="preserve">punctul </w:t>
      </w:r>
      <w:r w:rsidR="00FB1BCA" w:rsidRPr="00966DF3">
        <w:t>71</w:t>
      </w:r>
      <w:r w:rsidR="008D0380" w:rsidRPr="00966DF3">
        <w:t xml:space="preserve">, </w:t>
      </w:r>
      <w:r w:rsidR="00FB1BCA" w:rsidRPr="00966DF3">
        <w:t xml:space="preserve">cuvintele „instituțiile financiare din străinătate” se substituie </w:t>
      </w:r>
      <w:r w:rsidR="003D7702" w:rsidRPr="00966DF3">
        <w:t xml:space="preserve">cu </w:t>
      </w:r>
      <w:r w:rsidR="00FB1BCA" w:rsidRPr="00966DF3">
        <w:t>cuvintele „băncile nerezidente”</w:t>
      </w:r>
      <w:r w:rsidR="008D0380" w:rsidRPr="00966DF3">
        <w:t xml:space="preserve">, iar </w:t>
      </w:r>
      <w:r w:rsidR="00FB1BCA" w:rsidRPr="00966DF3">
        <w:t>textul „</w:t>
      </w:r>
      <w:bookmarkStart w:id="13" w:name="_Hlk127797526"/>
      <w:proofErr w:type="spellStart"/>
      <w:r w:rsidR="00FB1BCA" w:rsidRPr="00966DF3">
        <w:t>lit.b</w:t>
      </w:r>
      <w:proofErr w:type="spellEnd"/>
      <w:r w:rsidR="00FB1BCA" w:rsidRPr="00966DF3">
        <w:t>), c), e) și f)</w:t>
      </w:r>
      <w:bookmarkEnd w:id="13"/>
      <w:r w:rsidR="00FB1BCA" w:rsidRPr="00966DF3">
        <w:t>” se substituie cu textul „</w:t>
      </w:r>
      <w:bookmarkStart w:id="14" w:name="_Hlk130888267"/>
      <w:proofErr w:type="spellStart"/>
      <w:r w:rsidR="00FB1BCA" w:rsidRPr="00966DF3">
        <w:t>lit.b</w:t>
      </w:r>
      <w:proofErr w:type="spellEnd"/>
      <w:r w:rsidR="00FB1BCA" w:rsidRPr="00966DF3">
        <w:t>), e) și f)</w:t>
      </w:r>
      <w:bookmarkEnd w:id="14"/>
      <w:r w:rsidR="00FB1BCA" w:rsidRPr="00966DF3">
        <w:t>”</w:t>
      </w:r>
      <w:r w:rsidR="00FC535B" w:rsidRPr="00966DF3">
        <w:t>;</w:t>
      </w:r>
    </w:p>
    <w:p w14:paraId="0C509B44" w14:textId="77777777" w:rsidR="00793462" w:rsidRPr="00966DF3" w:rsidRDefault="00793462" w:rsidP="00D7441B">
      <w:pPr>
        <w:ind w:firstLine="600"/>
        <w:jc w:val="both"/>
      </w:pPr>
    </w:p>
    <w:p w14:paraId="784BD742" w14:textId="7D129372" w:rsidR="00600092" w:rsidRPr="00966DF3" w:rsidRDefault="002449F1" w:rsidP="00D7441B">
      <w:pPr>
        <w:ind w:firstLine="600"/>
        <w:jc w:val="both"/>
      </w:pPr>
      <w:r w:rsidRPr="00966DF3">
        <w:t>12</w:t>
      </w:r>
      <w:r w:rsidR="00600092" w:rsidRPr="00966DF3">
        <w:t xml:space="preserve">) La </w:t>
      </w:r>
      <w:r w:rsidR="00CF1D43" w:rsidRPr="00966DF3">
        <w:t xml:space="preserve">punctul </w:t>
      </w:r>
      <w:r w:rsidR="00600092" w:rsidRPr="00966DF3">
        <w:t>72 lit</w:t>
      </w:r>
      <w:r w:rsidR="00583C61" w:rsidRPr="00966DF3">
        <w:t xml:space="preserve">era </w:t>
      </w:r>
      <w:r w:rsidR="00600092" w:rsidRPr="00966DF3">
        <w:t>b)</w:t>
      </w:r>
      <w:r w:rsidR="008D0380" w:rsidRPr="00966DF3">
        <w:t>,</w:t>
      </w:r>
      <w:r w:rsidR="00600092" w:rsidRPr="00966DF3">
        <w:t xml:space="preserve"> cuvintele „instituțiile financiare din străinătate” se substituie </w:t>
      </w:r>
      <w:r w:rsidR="003D7702" w:rsidRPr="00966DF3">
        <w:t xml:space="preserve">cu </w:t>
      </w:r>
      <w:r w:rsidR="00600092" w:rsidRPr="00966DF3">
        <w:t>cuvintele „băncile nerezidente”;</w:t>
      </w:r>
    </w:p>
    <w:p w14:paraId="0C67B3D5" w14:textId="0DD089B9" w:rsidR="00261E7A" w:rsidRPr="00966DF3" w:rsidRDefault="00261E7A" w:rsidP="00D7441B">
      <w:pPr>
        <w:ind w:firstLine="600"/>
        <w:jc w:val="both"/>
      </w:pPr>
    </w:p>
    <w:p w14:paraId="14403F8C" w14:textId="4CAF68D6" w:rsidR="00261E7A" w:rsidRPr="00966DF3" w:rsidRDefault="002449F1" w:rsidP="00D7441B">
      <w:pPr>
        <w:ind w:firstLine="600"/>
        <w:jc w:val="both"/>
      </w:pPr>
      <w:r w:rsidRPr="00966DF3">
        <w:t>13</w:t>
      </w:r>
      <w:r w:rsidR="00261E7A" w:rsidRPr="00966DF3">
        <w:t>) Punctul 8</w:t>
      </w:r>
      <w:r w:rsidR="004C5F63" w:rsidRPr="00966DF3">
        <w:t>2</w:t>
      </w:r>
      <w:r w:rsidR="00261E7A" w:rsidRPr="00966DF3">
        <w:t xml:space="preserve"> subpunctul 4)</w:t>
      </w:r>
      <w:r w:rsidR="00F61EB2" w:rsidRPr="00966DF3">
        <w:t xml:space="preserve"> și punctul 84 subpunctul 4)</w:t>
      </w:r>
      <w:r w:rsidR="00AE72A1" w:rsidRPr="00966DF3">
        <w:t>,</w:t>
      </w:r>
      <w:r w:rsidR="004C5F63" w:rsidRPr="00966DF3">
        <w:t xml:space="preserve"> după cuvântul „autorizației” se completează cu acronimul „BNM”;</w:t>
      </w:r>
    </w:p>
    <w:p w14:paraId="344C9F97" w14:textId="1010F4AC" w:rsidR="004C5F63" w:rsidRPr="00966DF3" w:rsidRDefault="004C5F63" w:rsidP="00D7441B">
      <w:pPr>
        <w:ind w:firstLine="600"/>
        <w:jc w:val="both"/>
      </w:pPr>
    </w:p>
    <w:p w14:paraId="53CE48D0" w14:textId="0055AD4B" w:rsidR="00600092" w:rsidRPr="00966DF3" w:rsidRDefault="002449F1" w:rsidP="00D7441B">
      <w:pPr>
        <w:ind w:firstLine="600"/>
        <w:jc w:val="both"/>
      </w:pPr>
      <w:r w:rsidRPr="00966DF3">
        <w:t>14</w:t>
      </w:r>
      <w:r w:rsidR="00600092" w:rsidRPr="00966DF3">
        <w:t xml:space="preserve">) </w:t>
      </w:r>
      <w:bookmarkStart w:id="15" w:name="_Hlk127797776"/>
      <w:r w:rsidR="00600092" w:rsidRPr="00966DF3">
        <w:t xml:space="preserve">La </w:t>
      </w:r>
      <w:r w:rsidR="00CF1D43" w:rsidRPr="00966DF3">
        <w:t xml:space="preserve">punctul </w:t>
      </w:r>
      <w:r w:rsidR="00600092" w:rsidRPr="00966DF3">
        <w:t>91</w:t>
      </w:r>
      <w:r w:rsidR="008D0380" w:rsidRPr="00966DF3">
        <w:t>,</w:t>
      </w:r>
      <w:r w:rsidR="00600092" w:rsidRPr="00966DF3">
        <w:t xml:space="preserve"> lit</w:t>
      </w:r>
      <w:r w:rsidR="00583C61" w:rsidRPr="00966DF3">
        <w:t xml:space="preserve">era </w:t>
      </w:r>
      <w:r w:rsidR="00600092" w:rsidRPr="00966DF3">
        <w:t>c) se abrogă;</w:t>
      </w:r>
    </w:p>
    <w:bookmarkEnd w:id="15"/>
    <w:p w14:paraId="373623EA" w14:textId="77777777" w:rsidR="00793462" w:rsidRPr="00966DF3" w:rsidRDefault="00793462" w:rsidP="00D7441B">
      <w:pPr>
        <w:ind w:firstLine="600"/>
        <w:jc w:val="both"/>
      </w:pPr>
    </w:p>
    <w:p w14:paraId="7B6864E2" w14:textId="6B30DAB3" w:rsidR="00600092" w:rsidRPr="00966DF3" w:rsidRDefault="002449F1" w:rsidP="00D7441B">
      <w:pPr>
        <w:ind w:firstLine="600"/>
        <w:jc w:val="both"/>
      </w:pPr>
      <w:r w:rsidRPr="00966DF3">
        <w:t>15</w:t>
      </w:r>
      <w:r w:rsidR="00600092" w:rsidRPr="00966DF3">
        <w:t xml:space="preserve">) La </w:t>
      </w:r>
      <w:r w:rsidR="00CF1D43" w:rsidRPr="00966DF3">
        <w:t xml:space="preserve">punctul </w:t>
      </w:r>
      <w:r w:rsidR="00600092" w:rsidRPr="00966DF3">
        <w:t>92</w:t>
      </w:r>
      <w:r w:rsidR="008D0380" w:rsidRPr="00966DF3">
        <w:t>,</w:t>
      </w:r>
      <w:r w:rsidR="00600092" w:rsidRPr="00966DF3">
        <w:t xml:space="preserve"> subp</w:t>
      </w:r>
      <w:r w:rsidR="00583C61" w:rsidRPr="00966DF3">
        <w:t xml:space="preserve">unctul </w:t>
      </w:r>
      <w:r w:rsidR="00600092" w:rsidRPr="00966DF3">
        <w:t>3) se abrogă;</w:t>
      </w:r>
    </w:p>
    <w:p w14:paraId="1EB3ACED" w14:textId="77777777" w:rsidR="00793462" w:rsidRPr="00966DF3" w:rsidRDefault="00793462" w:rsidP="002670AC">
      <w:pPr>
        <w:ind w:firstLine="600"/>
        <w:jc w:val="both"/>
      </w:pPr>
    </w:p>
    <w:p w14:paraId="0B213AE5" w14:textId="14C3CF0D" w:rsidR="008358E1" w:rsidRPr="00966DF3" w:rsidRDefault="002449F1" w:rsidP="002670AC">
      <w:pPr>
        <w:ind w:firstLine="600"/>
        <w:jc w:val="both"/>
      </w:pPr>
      <w:r w:rsidRPr="00966DF3">
        <w:t>16</w:t>
      </w:r>
      <w:r w:rsidR="00600092" w:rsidRPr="00966DF3">
        <w:t xml:space="preserve">) La </w:t>
      </w:r>
      <w:r w:rsidR="00CF1D43" w:rsidRPr="00966DF3">
        <w:t xml:space="preserve">punctul </w:t>
      </w:r>
      <w:r w:rsidR="00600092" w:rsidRPr="00966DF3">
        <w:t>117</w:t>
      </w:r>
      <w:r w:rsidR="008D0380" w:rsidRPr="00966DF3">
        <w:t>,</w:t>
      </w:r>
      <w:r w:rsidR="00600092" w:rsidRPr="00966DF3">
        <w:t xml:space="preserve"> textul </w:t>
      </w:r>
      <w:r w:rsidR="002670AC" w:rsidRPr="00966DF3">
        <w:t>„</w:t>
      </w:r>
      <w:r w:rsidR="00793462" w:rsidRPr="00966DF3">
        <w:t xml:space="preserve"> , </w:t>
      </w:r>
      <w:r w:rsidR="002670AC" w:rsidRPr="00966DF3">
        <w:t>inclusiv terminale de plată în numerar (terminale cash-in)” se exclude;</w:t>
      </w:r>
    </w:p>
    <w:p w14:paraId="42C02706" w14:textId="77777777" w:rsidR="00793462" w:rsidRPr="00966DF3" w:rsidRDefault="00793462" w:rsidP="002670AC">
      <w:pPr>
        <w:ind w:firstLine="600"/>
        <w:jc w:val="both"/>
      </w:pPr>
    </w:p>
    <w:p w14:paraId="7C95C6B4" w14:textId="36EAE2F1" w:rsidR="002670AC" w:rsidRPr="00966DF3" w:rsidRDefault="002449F1" w:rsidP="002670AC">
      <w:pPr>
        <w:ind w:firstLine="600"/>
        <w:jc w:val="both"/>
      </w:pPr>
      <w:r w:rsidRPr="00966DF3">
        <w:lastRenderedPageBreak/>
        <w:t>17</w:t>
      </w:r>
      <w:r w:rsidR="002670AC" w:rsidRPr="00966DF3">
        <w:t xml:space="preserve">) </w:t>
      </w:r>
      <w:r w:rsidR="00F92743" w:rsidRPr="00966DF3">
        <w:t xml:space="preserve">Punctul </w:t>
      </w:r>
      <w:r w:rsidR="002670AC" w:rsidRPr="00966DF3">
        <w:t>120</w:t>
      </w:r>
      <w:r w:rsidR="00F92743" w:rsidRPr="00966DF3">
        <w:t xml:space="preserve">, după cuvântul ”traducerile” se completează cu cuvintele ”autorizate ale”, iar </w:t>
      </w:r>
      <w:r w:rsidR="002670AC" w:rsidRPr="00966DF3">
        <w:t xml:space="preserve">textul „ , legalizate notarial” se </w:t>
      </w:r>
      <w:r w:rsidR="00F92743" w:rsidRPr="00966DF3">
        <w:t>exclude</w:t>
      </w:r>
      <w:r w:rsidR="002670AC" w:rsidRPr="00966DF3">
        <w:t>;</w:t>
      </w:r>
    </w:p>
    <w:p w14:paraId="13397D8A" w14:textId="77777777" w:rsidR="00F92743" w:rsidRPr="00966DF3" w:rsidRDefault="00F92743" w:rsidP="002670AC">
      <w:pPr>
        <w:ind w:firstLine="600"/>
        <w:jc w:val="both"/>
      </w:pPr>
    </w:p>
    <w:p w14:paraId="7EB887AC" w14:textId="6C10FA62" w:rsidR="002670AC" w:rsidRPr="00966DF3" w:rsidRDefault="002449F1" w:rsidP="002670AC">
      <w:pPr>
        <w:ind w:firstLine="600"/>
        <w:jc w:val="both"/>
      </w:pPr>
      <w:r w:rsidRPr="00966DF3">
        <w:t>18</w:t>
      </w:r>
      <w:r w:rsidR="002670AC" w:rsidRPr="00966DF3">
        <w:t xml:space="preserve">) La </w:t>
      </w:r>
      <w:r w:rsidR="00CF1D43" w:rsidRPr="00966DF3">
        <w:t xml:space="preserve">punctul </w:t>
      </w:r>
      <w:r w:rsidR="002670AC" w:rsidRPr="00966DF3">
        <w:t>122</w:t>
      </w:r>
      <w:r w:rsidR="002670AC" w:rsidRPr="00966DF3">
        <w:rPr>
          <w:vertAlign w:val="superscript"/>
        </w:rPr>
        <w:t>1</w:t>
      </w:r>
      <w:r w:rsidR="008D0380" w:rsidRPr="00966DF3">
        <w:t>,</w:t>
      </w:r>
      <w:r w:rsidR="002670AC" w:rsidRPr="00966DF3">
        <w:t xml:space="preserve"> </w:t>
      </w:r>
      <w:r w:rsidR="002F2CD2" w:rsidRPr="00966DF3">
        <w:t>cuvintele „semnătura electronică şi” se exclud;</w:t>
      </w:r>
    </w:p>
    <w:p w14:paraId="248A9CC7" w14:textId="7085736D" w:rsidR="00606480" w:rsidRPr="00966DF3" w:rsidRDefault="00606480" w:rsidP="002670AC">
      <w:pPr>
        <w:ind w:firstLine="600"/>
        <w:jc w:val="both"/>
      </w:pPr>
    </w:p>
    <w:p w14:paraId="2DC00F4E" w14:textId="194D73A2" w:rsidR="00606480" w:rsidRPr="00966DF3" w:rsidRDefault="00606480" w:rsidP="002670AC">
      <w:pPr>
        <w:ind w:firstLine="600"/>
        <w:jc w:val="both"/>
      </w:pPr>
      <w:r w:rsidRPr="00966DF3">
        <w:t>19) La punctul122</w:t>
      </w:r>
      <w:r w:rsidRPr="00966DF3">
        <w:rPr>
          <w:vertAlign w:val="superscript"/>
        </w:rPr>
        <w:t>2</w:t>
      </w:r>
      <w:r w:rsidRPr="00966DF3">
        <w:t xml:space="preserve">, textul ” , aprobate prin Hotărârea Comitetului executiv al Băncii Naţionale a Moldovei nr.12/2020 (în continuare – </w:t>
      </w:r>
      <w:proofErr w:type="spellStart"/>
      <w:r w:rsidRPr="00966DF3">
        <w:t>Instrucţiunea</w:t>
      </w:r>
      <w:proofErr w:type="spellEnd"/>
      <w:r w:rsidRPr="00966DF3">
        <w:t xml:space="preserve"> privind notificarea angajamentelor externe)” se exclude;</w:t>
      </w:r>
    </w:p>
    <w:p w14:paraId="4B6599A5" w14:textId="77777777" w:rsidR="00606480" w:rsidRPr="00966DF3" w:rsidRDefault="00606480" w:rsidP="002670AC">
      <w:pPr>
        <w:ind w:firstLine="600"/>
        <w:jc w:val="both"/>
      </w:pPr>
    </w:p>
    <w:p w14:paraId="56233F9E" w14:textId="626282B4" w:rsidR="002F2CD2" w:rsidRPr="00966DF3" w:rsidRDefault="00F756E7" w:rsidP="002670AC">
      <w:pPr>
        <w:ind w:firstLine="600"/>
        <w:jc w:val="both"/>
      </w:pPr>
      <w:r w:rsidRPr="00966DF3">
        <w:t>20</w:t>
      </w:r>
      <w:r w:rsidR="002F2CD2" w:rsidRPr="00966DF3">
        <w:t xml:space="preserve">) La </w:t>
      </w:r>
      <w:r w:rsidR="00CF1D43" w:rsidRPr="00966DF3">
        <w:t xml:space="preserve">punctul </w:t>
      </w:r>
      <w:r w:rsidR="002F2CD2" w:rsidRPr="00966DF3">
        <w:t>124 lit</w:t>
      </w:r>
      <w:r w:rsidR="00583C61" w:rsidRPr="00966DF3">
        <w:t xml:space="preserve">era </w:t>
      </w:r>
      <w:r w:rsidR="002F2CD2" w:rsidRPr="00966DF3">
        <w:t>a)</w:t>
      </w:r>
      <w:r w:rsidR="008D0380" w:rsidRPr="00966DF3">
        <w:t>,</w:t>
      </w:r>
      <w:r w:rsidR="002F2CD2" w:rsidRPr="00966DF3">
        <w:t xml:space="preserve"> textul „devizul de cheltuieli pentru </w:t>
      </w:r>
      <w:proofErr w:type="spellStart"/>
      <w:r w:rsidR="002F2CD2" w:rsidRPr="00966DF3">
        <w:t>întreţinerea</w:t>
      </w:r>
      <w:proofErr w:type="spellEnd"/>
      <w:r w:rsidR="002F2CD2" w:rsidRPr="00966DF3">
        <w:t xml:space="preserve"> </w:t>
      </w:r>
      <w:proofErr w:type="spellStart"/>
      <w:r w:rsidR="002F2CD2" w:rsidRPr="00966DF3">
        <w:t>reprezentanţei</w:t>
      </w:r>
      <w:proofErr w:type="spellEnd"/>
      <w:r w:rsidR="002F2CD2" w:rsidRPr="00966DF3">
        <w:t xml:space="preserve"> în străinătate a persoanei juridice rezidente,” se exclude;</w:t>
      </w:r>
    </w:p>
    <w:p w14:paraId="134BD3EF" w14:textId="56F6FBE2" w:rsidR="004C5F63" w:rsidRPr="00966DF3" w:rsidRDefault="004C5F63" w:rsidP="002670AC">
      <w:pPr>
        <w:ind w:firstLine="600"/>
        <w:jc w:val="both"/>
      </w:pPr>
    </w:p>
    <w:p w14:paraId="5C29E451" w14:textId="783D0C07" w:rsidR="004C5F63" w:rsidRPr="00966DF3" w:rsidRDefault="002449F1" w:rsidP="002670AC">
      <w:pPr>
        <w:ind w:firstLine="600"/>
        <w:jc w:val="both"/>
      </w:pPr>
      <w:r w:rsidRPr="00966DF3">
        <w:t>2</w:t>
      </w:r>
      <w:r w:rsidR="00F756E7" w:rsidRPr="00966DF3">
        <w:t>1</w:t>
      </w:r>
      <w:r w:rsidR="004C5F63" w:rsidRPr="00966DF3">
        <w:t xml:space="preserve">) </w:t>
      </w:r>
      <w:r w:rsidR="00410F9E" w:rsidRPr="00966DF3">
        <w:t>La p</w:t>
      </w:r>
      <w:r w:rsidR="004C5F63" w:rsidRPr="00966DF3">
        <w:t>unctul 127</w:t>
      </w:r>
      <w:r w:rsidR="00E27AEC" w:rsidRPr="00966DF3">
        <w:t>,</w:t>
      </w:r>
      <w:r w:rsidR="004C5F63" w:rsidRPr="00966DF3">
        <w:t xml:space="preserve"> cuvintele „eliberate de” se exclud;</w:t>
      </w:r>
    </w:p>
    <w:p w14:paraId="2058D555" w14:textId="3A2B22F8" w:rsidR="004C5F63" w:rsidRPr="00966DF3" w:rsidRDefault="004C5F63" w:rsidP="002670AC">
      <w:pPr>
        <w:ind w:firstLine="600"/>
        <w:jc w:val="both"/>
      </w:pPr>
    </w:p>
    <w:p w14:paraId="23E9638E" w14:textId="22DFA558" w:rsidR="004C5F63" w:rsidRPr="00966DF3" w:rsidRDefault="002449F1" w:rsidP="002670AC">
      <w:pPr>
        <w:ind w:firstLine="600"/>
        <w:jc w:val="both"/>
      </w:pPr>
      <w:r w:rsidRPr="00966DF3">
        <w:t>2</w:t>
      </w:r>
      <w:r w:rsidR="00F756E7" w:rsidRPr="00966DF3">
        <w:t>2</w:t>
      </w:r>
      <w:r w:rsidR="004C5F63" w:rsidRPr="00966DF3">
        <w:t xml:space="preserve">) Punctul 128 </w:t>
      </w:r>
      <w:r w:rsidR="006A4825" w:rsidRPr="00966DF3">
        <w:t>se abrogă</w:t>
      </w:r>
      <w:r w:rsidR="00026655">
        <w:t>;</w:t>
      </w:r>
      <w:r w:rsidR="006A4825" w:rsidRPr="00966DF3">
        <w:t xml:space="preserve"> </w:t>
      </w:r>
    </w:p>
    <w:p w14:paraId="3F8D0082" w14:textId="77777777" w:rsidR="004C5F63" w:rsidRPr="00966DF3" w:rsidRDefault="004C5F63" w:rsidP="002670AC">
      <w:pPr>
        <w:ind w:firstLine="600"/>
        <w:jc w:val="both"/>
      </w:pPr>
    </w:p>
    <w:p w14:paraId="6102C8D0" w14:textId="19DE36E5" w:rsidR="004C5F63" w:rsidRPr="00966DF3" w:rsidRDefault="002449F1" w:rsidP="002670AC">
      <w:pPr>
        <w:ind w:firstLine="600"/>
        <w:jc w:val="both"/>
      </w:pPr>
      <w:r w:rsidRPr="00966DF3">
        <w:t>2</w:t>
      </w:r>
      <w:r w:rsidR="00F756E7" w:rsidRPr="00966DF3">
        <w:t>3</w:t>
      </w:r>
      <w:r w:rsidR="004C5F63" w:rsidRPr="00966DF3">
        <w:t xml:space="preserve">) În titlul secțiunii a 2-a din capitolul II </w:t>
      </w:r>
      <w:r w:rsidR="00410F9E" w:rsidRPr="00966DF3">
        <w:t>textul „notificațiile /autorizațiile” se substituie cu textul „</w:t>
      </w:r>
      <w:bookmarkStart w:id="16" w:name="_Hlk130888641"/>
      <w:proofErr w:type="spellStart"/>
      <w:r w:rsidR="00410F9E" w:rsidRPr="00966DF3">
        <w:t>notificaţiile</w:t>
      </w:r>
      <w:proofErr w:type="spellEnd"/>
      <w:r w:rsidR="00410F9E" w:rsidRPr="00966DF3">
        <w:t xml:space="preserve"> /confirmările BNM /</w:t>
      </w:r>
      <w:proofErr w:type="spellStart"/>
      <w:r w:rsidR="00410F9E" w:rsidRPr="00966DF3">
        <w:t>autorizaţiile</w:t>
      </w:r>
      <w:proofErr w:type="spellEnd"/>
      <w:r w:rsidR="00410F9E" w:rsidRPr="00966DF3">
        <w:t xml:space="preserve"> BNM</w:t>
      </w:r>
      <w:bookmarkEnd w:id="16"/>
      <w:r w:rsidR="00410F9E" w:rsidRPr="00966DF3">
        <w:t>”;</w:t>
      </w:r>
    </w:p>
    <w:p w14:paraId="7D4287F5" w14:textId="3095C3D0" w:rsidR="00410F9E" w:rsidRPr="00966DF3" w:rsidRDefault="00410F9E" w:rsidP="002670AC">
      <w:pPr>
        <w:ind w:firstLine="600"/>
        <w:jc w:val="both"/>
      </w:pPr>
    </w:p>
    <w:p w14:paraId="7C85C35F" w14:textId="7CECBA44" w:rsidR="00410F9E" w:rsidRPr="00966DF3" w:rsidRDefault="002449F1" w:rsidP="002670AC">
      <w:pPr>
        <w:ind w:firstLine="600"/>
        <w:jc w:val="both"/>
      </w:pPr>
      <w:r w:rsidRPr="00966DF3">
        <w:t>2</w:t>
      </w:r>
      <w:r w:rsidR="00F756E7" w:rsidRPr="00966DF3">
        <w:t>4</w:t>
      </w:r>
      <w:r w:rsidR="00410F9E" w:rsidRPr="00966DF3">
        <w:t>) Punctul 130 va avea următorul cuprins:</w:t>
      </w:r>
    </w:p>
    <w:p w14:paraId="1B91CCFE" w14:textId="090D3CB2" w:rsidR="006A4825" w:rsidRPr="00966DF3" w:rsidRDefault="00DC3248" w:rsidP="006A4825">
      <w:pPr>
        <w:ind w:firstLine="567"/>
        <w:jc w:val="both"/>
        <w:rPr>
          <w:lang w:val="ro-MD"/>
        </w:rPr>
      </w:pPr>
      <w:r w:rsidRPr="00966DF3">
        <w:t>”</w:t>
      </w:r>
      <w:r w:rsidR="006A4825" w:rsidRPr="00966DF3">
        <w:rPr>
          <w:b/>
          <w:bCs/>
          <w:lang w:val="ro-MD"/>
        </w:rPr>
        <w:t>130.</w:t>
      </w:r>
      <w:r w:rsidR="006A4825" w:rsidRPr="00966DF3">
        <w:rPr>
          <w:lang w:val="ro-MD"/>
        </w:rPr>
        <w:t xml:space="preserve"> La efectuarea plăților și transferurilor în cadrul angajamentelor externe supuse notificării la Banca Națională a Moldovei: </w:t>
      </w:r>
    </w:p>
    <w:p w14:paraId="4371E5E5" w14:textId="77576D0B" w:rsidR="006A4825" w:rsidRPr="00966DF3" w:rsidRDefault="006A4825" w:rsidP="006A4825">
      <w:pPr>
        <w:ind w:firstLine="567"/>
        <w:jc w:val="both"/>
        <w:rPr>
          <w:lang w:val="ro-MD"/>
        </w:rPr>
      </w:pPr>
      <w:r w:rsidRPr="00966DF3">
        <w:rPr>
          <w:lang w:val="ro-MD"/>
        </w:rPr>
        <w:t xml:space="preserve">a) pentru angajamentele externe notificate și luate la evidență de către BNM până la </w:t>
      </w:r>
      <w:r w:rsidR="00DC3248" w:rsidRPr="00966DF3">
        <w:rPr>
          <w:lang w:val="ro-MD"/>
        </w:rPr>
        <w:t xml:space="preserve">19 iulie </w:t>
      </w:r>
      <w:r w:rsidRPr="00966DF3">
        <w:rPr>
          <w:lang w:val="ro-MD"/>
        </w:rPr>
        <w:t>2023 (inclusiv), rezidentul este obligat să prezinte prestatorului SPR notificația (după caz, notificația modificată), care poartă înscrierea privind luarea la evidență de către Banca Națională a Moldovei a angajamentului extern. În cazul prezentării de către rezident a notificației (după caz, notificației modificate) pe suport hârtie, notificația în cauză va conține semnătura olografă a rezidentului, precum și semnătura olografă a persoanei responsabile a Băncii Naționale a Moldovei și ștampila Băncii Naționale a Moldovei.</w:t>
      </w:r>
    </w:p>
    <w:p w14:paraId="038D4FD2" w14:textId="1335AA40" w:rsidR="006A4825" w:rsidRPr="00966DF3" w:rsidRDefault="006A4825" w:rsidP="006A4825">
      <w:pPr>
        <w:ind w:firstLine="567"/>
        <w:jc w:val="both"/>
        <w:rPr>
          <w:lang w:val="ro-MD"/>
        </w:rPr>
      </w:pPr>
      <w:r w:rsidRPr="00966DF3">
        <w:rPr>
          <w:lang w:val="ro-MD"/>
        </w:rPr>
        <w:t xml:space="preserve">Notificațiile, după caz, notificațiile modificate (pe suport hârtie sau în formă electronică) aferente angajamentelor externe luate la evidență până la data de </w:t>
      </w:r>
      <w:r w:rsidR="00DC3248" w:rsidRPr="00966DF3">
        <w:rPr>
          <w:lang w:val="ro-MD"/>
        </w:rPr>
        <w:t xml:space="preserve">19 iulie </w:t>
      </w:r>
      <w:r w:rsidRPr="00966DF3">
        <w:rPr>
          <w:lang w:val="ro-MD"/>
        </w:rPr>
        <w:t>2023 (inclusiv) pot fi utilizate de către rezidenți la efectuarea plăților și transferurilor până la stingerea obligațiilor aferente angajamentelor externe luate la evidență, dacă nu au survenit modificări aferente angajamentelor externe în cauză, cu luarea în considerare a pct.68</w:t>
      </w:r>
      <w:r w:rsidRPr="00966DF3">
        <w:rPr>
          <w:vertAlign w:val="superscript"/>
          <w:lang w:val="ro-MD"/>
        </w:rPr>
        <w:t>2</w:t>
      </w:r>
      <w:r w:rsidRPr="00966DF3">
        <w:rPr>
          <w:lang w:val="ro-MD"/>
        </w:rPr>
        <w:t xml:space="preserve"> din Instrucțiunea privind notificarea angajamentelor externe</w:t>
      </w:r>
      <w:r w:rsidR="00020810">
        <w:rPr>
          <w:lang w:val="ro-MD"/>
        </w:rPr>
        <w:t>;</w:t>
      </w:r>
    </w:p>
    <w:p w14:paraId="5F3BE5A8" w14:textId="4FD87B44" w:rsidR="006A4825" w:rsidRPr="00966DF3" w:rsidRDefault="006A4825" w:rsidP="006A4825">
      <w:pPr>
        <w:ind w:firstLine="567"/>
        <w:jc w:val="both"/>
      </w:pPr>
      <w:r w:rsidRPr="00966DF3">
        <w:rPr>
          <w:lang w:val="ro-MD"/>
        </w:rPr>
        <w:t>b) pentru celelalte angajamente externe, rezidentul este obligat să prezinte prestatorului SPR confirmarea BNM (după caz, confirmarea BNM modificată), care poartă numărul de evidență a angajamentului extern, precum și data luării la evidență de către Banca Națională a Moldovei a angajamentului extern, conform pct.29 din Instrucțiunea privind notificarea angajamentelor externe.</w:t>
      </w:r>
      <w:r w:rsidR="00DC3248" w:rsidRPr="00966DF3">
        <w:rPr>
          <w:lang w:val="ro-MD"/>
        </w:rPr>
        <w:t>”;</w:t>
      </w:r>
    </w:p>
    <w:p w14:paraId="17193A80" w14:textId="77777777" w:rsidR="00C53C45" w:rsidRPr="00966DF3" w:rsidRDefault="00C53C45" w:rsidP="002670AC">
      <w:pPr>
        <w:ind w:firstLine="600"/>
        <w:jc w:val="both"/>
      </w:pPr>
    </w:p>
    <w:p w14:paraId="59252278" w14:textId="5BDE30B6" w:rsidR="00410F9E" w:rsidRPr="00966DF3" w:rsidRDefault="002449F1" w:rsidP="002670AC">
      <w:pPr>
        <w:ind w:firstLine="600"/>
        <w:jc w:val="both"/>
      </w:pPr>
      <w:r w:rsidRPr="00966DF3">
        <w:t>2</w:t>
      </w:r>
      <w:r w:rsidR="00F756E7" w:rsidRPr="00966DF3">
        <w:t>5</w:t>
      </w:r>
      <w:r w:rsidR="00410F9E" w:rsidRPr="00966DF3">
        <w:t>)</w:t>
      </w:r>
      <w:r w:rsidR="00C53C45" w:rsidRPr="00966DF3">
        <w:t xml:space="preserve"> </w:t>
      </w:r>
      <w:bookmarkStart w:id="17" w:name="_Hlk130828302"/>
      <w:r w:rsidR="00C53C45" w:rsidRPr="00966DF3">
        <w:t>La punctul 130</w:t>
      </w:r>
      <w:r w:rsidR="00C53C45" w:rsidRPr="00966DF3">
        <w:rPr>
          <w:vertAlign w:val="superscript"/>
        </w:rPr>
        <w:t>1</w:t>
      </w:r>
      <w:r w:rsidR="00144459" w:rsidRPr="00966DF3">
        <w:t>,</w:t>
      </w:r>
      <w:r w:rsidR="00C53C45" w:rsidRPr="00966DF3">
        <w:t xml:space="preserve"> </w:t>
      </w:r>
      <w:bookmarkEnd w:id="17"/>
      <w:r w:rsidR="006A4825" w:rsidRPr="00966DF3">
        <w:t xml:space="preserve">după textul „pct.130” se completează cu textul „ </w:t>
      </w:r>
      <w:proofErr w:type="spellStart"/>
      <w:r w:rsidR="006A4825" w:rsidRPr="00966DF3">
        <w:t>lit.b</w:t>
      </w:r>
      <w:proofErr w:type="spellEnd"/>
      <w:r w:rsidR="006A4825" w:rsidRPr="00966DF3">
        <w:t xml:space="preserve">)”, </w:t>
      </w:r>
      <w:r w:rsidR="00C53C45" w:rsidRPr="00966DF3">
        <w:t xml:space="preserve">cuvintele „notificației </w:t>
      </w:r>
      <w:bookmarkStart w:id="18" w:name="_Hlk130828268"/>
      <w:r w:rsidR="00C53C45" w:rsidRPr="00966DF3">
        <w:t>respective”</w:t>
      </w:r>
      <w:bookmarkEnd w:id="18"/>
      <w:r w:rsidR="00C53C45" w:rsidRPr="00966DF3">
        <w:t xml:space="preserve"> se substituie cu textul „</w:t>
      </w:r>
      <w:bookmarkStart w:id="19" w:name="_Hlk130900562"/>
      <w:r w:rsidR="00C53C45" w:rsidRPr="00966DF3">
        <w:t>confirmării BNM respective</w:t>
      </w:r>
      <w:bookmarkEnd w:id="19"/>
      <w:r w:rsidR="00C53C45" w:rsidRPr="00966DF3">
        <w:t>”;</w:t>
      </w:r>
    </w:p>
    <w:p w14:paraId="231B1E36" w14:textId="77777777" w:rsidR="0051517D" w:rsidRPr="00966DF3" w:rsidRDefault="0051517D" w:rsidP="002670AC">
      <w:pPr>
        <w:ind w:firstLine="600"/>
        <w:jc w:val="both"/>
      </w:pPr>
    </w:p>
    <w:p w14:paraId="7D42CBA2" w14:textId="38675970" w:rsidR="0051517D" w:rsidRPr="00966DF3" w:rsidRDefault="002449F1" w:rsidP="002670AC">
      <w:pPr>
        <w:ind w:firstLine="600"/>
        <w:jc w:val="both"/>
      </w:pPr>
      <w:r w:rsidRPr="00966DF3">
        <w:t>2</w:t>
      </w:r>
      <w:r w:rsidR="00F756E7" w:rsidRPr="00966DF3">
        <w:t>6</w:t>
      </w:r>
      <w:r w:rsidR="0051517D" w:rsidRPr="00966DF3">
        <w:t>) La punctul 130</w:t>
      </w:r>
      <w:r w:rsidR="0051517D" w:rsidRPr="00966DF3">
        <w:rPr>
          <w:vertAlign w:val="superscript"/>
        </w:rPr>
        <w:t>2</w:t>
      </w:r>
      <w:r w:rsidR="00144459" w:rsidRPr="00966DF3">
        <w:t>,</w:t>
      </w:r>
      <w:r w:rsidR="0051517D" w:rsidRPr="00966DF3">
        <w:rPr>
          <w:vertAlign w:val="superscript"/>
        </w:rPr>
        <w:t xml:space="preserve"> </w:t>
      </w:r>
      <w:r w:rsidR="0051517D" w:rsidRPr="00966DF3">
        <w:t>ultima propoziție se exclude</w:t>
      </w:r>
      <w:r w:rsidR="00020810">
        <w:t>;</w:t>
      </w:r>
    </w:p>
    <w:p w14:paraId="4177361C" w14:textId="5FFF42D7" w:rsidR="00F92743" w:rsidRPr="00966DF3" w:rsidRDefault="00F92743" w:rsidP="002670AC">
      <w:pPr>
        <w:ind w:firstLine="600"/>
        <w:jc w:val="both"/>
      </w:pPr>
    </w:p>
    <w:p w14:paraId="5EB4208C" w14:textId="677F0478" w:rsidR="0051517D" w:rsidRPr="00966DF3" w:rsidRDefault="002449F1" w:rsidP="002670AC">
      <w:pPr>
        <w:ind w:firstLine="600"/>
        <w:jc w:val="both"/>
      </w:pPr>
      <w:r w:rsidRPr="00966DF3">
        <w:t>2</w:t>
      </w:r>
      <w:r w:rsidR="00F756E7" w:rsidRPr="00966DF3">
        <w:t>7</w:t>
      </w:r>
      <w:r w:rsidR="0051517D" w:rsidRPr="00966DF3">
        <w:t>) Punctul 131 va avea următorul cuprins:</w:t>
      </w:r>
    </w:p>
    <w:p w14:paraId="4E125CB4" w14:textId="3CA71516" w:rsidR="0051517D" w:rsidRPr="00966DF3" w:rsidRDefault="0051517D" w:rsidP="002670AC">
      <w:pPr>
        <w:ind w:firstLine="600"/>
        <w:jc w:val="both"/>
      </w:pPr>
      <w:r w:rsidRPr="00966DF3">
        <w:t>„</w:t>
      </w:r>
      <w:bookmarkStart w:id="20" w:name="_Hlk130900645"/>
      <w:r w:rsidRPr="00966DF3">
        <w:rPr>
          <w:b/>
          <w:bCs/>
          <w:lang w:val="it-IT"/>
        </w:rPr>
        <w:t>131.</w:t>
      </w:r>
      <w:r w:rsidRPr="00966DF3">
        <w:rPr>
          <w:lang w:val="it-IT"/>
        </w:rPr>
        <w:t xml:space="preserve"> La efectuarea de către rezident a plăţii/transferului aferent operaţiunii valutare supuse autorizării, rezidentul prezintă prestatorului SPR autorizaţia BNM. În cazul în care BNM a eliberat amendamente la autorizaţie, acestea se prezintă împreună cu autorizaţia BNM.</w:t>
      </w:r>
      <w:bookmarkEnd w:id="20"/>
      <w:r w:rsidRPr="00966DF3">
        <w:t>”</w:t>
      </w:r>
      <w:r w:rsidR="00020810">
        <w:t>;</w:t>
      </w:r>
    </w:p>
    <w:p w14:paraId="64EF69FC" w14:textId="77777777" w:rsidR="0051517D" w:rsidRPr="00966DF3" w:rsidRDefault="0051517D" w:rsidP="002670AC">
      <w:pPr>
        <w:ind w:firstLine="600"/>
        <w:jc w:val="both"/>
      </w:pPr>
    </w:p>
    <w:p w14:paraId="3186C1A4" w14:textId="0EDB54D3" w:rsidR="002F2CD2" w:rsidRPr="00966DF3" w:rsidRDefault="009560FA" w:rsidP="002670AC">
      <w:pPr>
        <w:ind w:firstLine="600"/>
        <w:jc w:val="both"/>
      </w:pPr>
      <w:r w:rsidRPr="00966DF3">
        <w:lastRenderedPageBreak/>
        <w:t>2</w:t>
      </w:r>
      <w:r w:rsidR="00F756E7" w:rsidRPr="00966DF3">
        <w:t>8</w:t>
      </w:r>
      <w:r w:rsidR="002F2CD2" w:rsidRPr="00966DF3">
        <w:t xml:space="preserve">) La </w:t>
      </w:r>
      <w:r w:rsidR="00CF1D43" w:rsidRPr="00966DF3">
        <w:t xml:space="preserve">punctul </w:t>
      </w:r>
      <w:r w:rsidR="002F2CD2" w:rsidRPr="00966DF3">
        <w:t>132</w:t>
      </w:r>
      <w:r w:rsidR="008D0380" w:rsidRPr="00966DF3">
        <w:t>,</w:t>
      </w:r>
      <w:r w:rsidR="002F2CD2" w:rsidRPr="00966DF3">
        <w:t xml:space="preserve"> cuvintele „instituția financiară din străinătate” se substituie </w:t>
      </w:r>
      <w:r w:rsidR="003D7702" w:rsidRPr="00966DF3">
        <w:t xml:space="preserve">cu </w:t>
      </w:r>
      <w:r w:rsidR="002F2CD2" w:rsidRPr="00966DF3">
        <w:t>cuvintele „banca nerezidentă”</w:t>
      </w:r>
      <w:r w:rsidR="0051517D" w:rsidRPr="00966DF3">
        <w:t>, iar ultima propoziție după cuvântul „autorizația” se completează cu acronimul „BNM”</w:t>
      </w:r>
      <w:r w:rsidR="002F2CD2" w:rsidRPr="00966DF3">
        <w:t>;</w:t>
      </w:r>
    </w:p>
    <w:p w14:paraId="4549577E" w14:textId="77777777" w:rsidR="003D7702" w:rsidRPr="00966DF3" w:rsidRDefault="003D7702" w:rsidP="002670AC">
      <w:pPr>
        <w:ind w:firstLine="600"/>
        <w:jc w:val="both"/>
      </w:pPr>
    </w:p>
    <w:p w14:paraId="13A0CFA4" w14:textId="0F51E558" w:rsidR="002F2CD2" w:rsidRPr="00966DF3" w:rsidRDefault="009560FA" w:rsidP="002670AC">
      <w:pPr>
        <w:ind w:firstLine="600"/>
        <w:jc w:val="both"/>
      </w:pPr>
      <w:r w:rsidRPr="00966DF3">
        <w:t>2</w:t>
      </w:r>
      <w:r w:rsidR="00F756E7" w:rsidRPr="00966DF3">
        <w:t>9</w:t>
      </w:r>
      <w:r w:rsidR="002F2CD2" w:rsidRPr="00966DF3">
        <w:t xml:space="preserve">) </w:t>
      </w:r>
      <w:r w:rsidR="003D7702" w:rsidRPr="00966DF3">
        <w:t xml:space="preserve">Punctul </w:t>
      </w:r>
      <w:r w:rsidR="002F2CD2" w:rsidRPr="00966DF3">
        <w:t>133</w:t>
      </w:r>
      <w:r w:rsidR="003D7702" w:rsidRPr="00966DF3">
        <w:t>,</w:t>
      </w:r>
      <w:r w:rsidR="002F2CD2" w:rsidRPr="00966DF3">
        <w:t xml:space="preserve"> după textul „pct.122” se completează cu textul „</w:t>
      </w:r>
      <w:r w:rsidR="00B03D47" w:rsidRPr="00966DF3">
        <w:t>și /sau pct.122</w:t>
      </w:r>
      <w:r w:rsidR="00B03D47" w:rsidRPr="00966DF3">
        <w:rPr>
          <w:vertAlign w:val="superscript"/>
        </w:rPr>
        <w:t>1</w:t>
      </w:r>
      <w:r w:rsidR="002F2CD2" w:rsidRPr="00966DF3">
        <w:t>”</w:t>
      </w:r>
      <w:r w:rsidR="00B03D47" w:rsidRPr="00966DF3">
        <w:t>;</w:t>
      </w:r>
    </w:p>
    <w:p w14:paraId="5F6D1BD1" w14:textId="77777777" w:rsidR="003D7702" w:rsidRPr="00966DF3" w:rsidRDefault="003D7702" w:rsidP="002670AC">
      <w:pPr>
        <w:ind w:firstLine="600"/>
        <w:jc w:val="both"/>
      </w:pPr>
    </w:p>
    <w:p w14:paraId="61628C2D" w14:textId="53D80768" w:rsidR="00B03D47" w:rsidRPr="00966DF3" w:rsidRDefault="00F756E7" w:rsidP="002670AC">
      <w:pPr>
        <w:ind w:firstLine="600"/>
        <w:jc w:val="both"/>
      </w:pPr>
      <w:r w:rsidRPr="00966DF3">
        <w:t>30</w:t>
      </w:r>
      <w:r w:rsidR="00B03D47" w:rsidRPr="00966DF3">
        <w:t xml:space="preserve">) </w:t>
      </w:r>
      <w:r w:rsidR="003D7702" w:rsidRPr="00966DF3">
        <w:t xml:space="preserve">Punctul </w:t>
      </w:r>
      <w:r w:rsidR="00B03D47" w:rsidRPr="00966DF3">
        <w:t>134</w:t>
      </w:r>
      <w:r w:rsidR="003D7702" w:rsidRPr="00966DF3">
        <w:t>,</w:t>
      </w:r>
      <w:r w:rsidR="00B03D47" w:rsidRPr="00966DF3">
        <w:t xml:space="preserve"> după textul „(după caz, a </w:t>
      </w:r>
      <w:proofErr w:type="spellStart"/>
      <w:r w:rsidR="00B03D47" w:rsidRPr="00966DF3">
        <w:t>notificaţiei</w:t>
      </w:r>
      <w:proofErr w:type="spellEnd"/>
      <w:r w:rsidR="00B03D47" w:rsidRPr="00966DF3">
        <w:t xml:space="preserve"> modificate)”</w:t>
      </w:r>
      <w:r w:rsidR="00E76D8D" w:rsidRPr="00966DF3">
        <w:t xml:space="preserve"> se completează cu textul „</w:t>
      </w:r>
      <w:r w:rsidR="005E36E9" w:rsidRPr="00966DF3">
        <w:t xml:space="preserve">/confirmării BNM (după caz, a confirmării BNM modificate) </w:t>
      </w:r>
      <w:r w:rsidR="00E76D8D" w:rsidRPr="00966DF3">
        <w:t>și a autorizației BNM,”;</w:t>
      </w:r>
    </w:p>
    <w:p w14:paraId="03FD4508" w14:textId="77777777" w:rsidR="003D7702" w:rsidRPr="00966DF3" w:rsidRDefault="003D7702" w:rsidP="002670AC">
      <w:pPr>
        <w:ind w:firstLine="600"/>
        <w:jc w:val="both"/>
      </w:pPr>
    </w:p>
    <w:p w14:paraId="052FC71B" w14:textId="21A10197" w:rsidR="00E76D8D" w:rsidRPr="00966DF3" w:rsidRDefault="009560FA" w:rsidP="002670AC">
      <w:pPr>
        <w:ind w:firstLine="600"/>
        <w:jc w:val="both"/>
      </w:pPr>
      <w:r w:rsidRPr="00966DF3">
        <w:t>3</w:t>
      </w:r>
      <w:r w:rsidR="00F756E7" w:rsidRPr="00966DF3">
        <w:t>1</w:t>
      </w:r>
      <w:r w:rsidR="00E76D8D" w:rsidRPr="00966DF3">
        <w:t xml:space="preserve">) </w:t>
      </w:r>
      <w:r w:rsidR="00CF1D43" w:rsidRPr="00966DF3">
        <w:t>Punct</w:t>
      </w:r>
      <w:r w:rsidR="007C7327" w:rsidRPr="00966DF3">
        <w:t>ele</w:t>
      </w:r>
      <w:r w:rsidR="00CF1D43" w:rsidRPr="00966DF3">
        <w:t xml:space="preserve"> </w:t>
      </w:r>
      <w:r w:rsidR="00E76D8D" w:rsidRPr="00966DF3">
        <w:t xml:space="preserve">135 </w:t>
      </w:r>
      <w:r w:rsidR="007C7327" w:rsidRPr="00966DF3">
        <w:t>și 136 vor</w:t>
      </w:r>
      <w:r w:rsidR="00E76D8D" w:rsidRPr="00966DF3">
        <w:t xml:space="preserve"> </w:t>
      </w:r>
      <w:bookmarkStart w:id="21" w:name="_Hlk130828949"/>
      <w:r w:rsidR="00E76D8D" w:rsidRPr="00966DF3">
        <w:t>avea următorul cuprins:</w:t>
      </w:r>
      <w:bookmarkEnd w:id="21"/>
    </w:p>
    <w:p w14:paraId="15A5FAC5" w14:textId="343E4D9E" w:rsidR="00E76D8D" w:rsidRPr="00966DF3" w:rsidRDefault="00E76D8D" w:rsidP="002670AC">
      <w:pPr>
        <w:ind w:firstLine="600"/>
        <w:jc w:val="both"/>
      </w:pPr>
      <w:r w:rsidRPr="00966DF3">
        <w:t xml:space="preserve">„135. În cazul în care la efectuarea operaţiunilor valutare la prestatorul SPR se prezintă </w:t>
      </w:r>
      <w:proofErr w:type="spellStart"/>
      <w:r w:rsidRPr="00966DF3">
        <w:t>notificaţia</w:t>
      </w:r>
      <w:proofErr w:type="spellEnd"/>
      <w:r w:rsidRPr="00966DF3">
        <w:t xml:space="preserve"> (după caz, </w:t>
      </w:r>
      <w:proofErr w:type="spellStart"/>
      <w:r w:rsidRPr="00966DF3">
        <w:t>notificaţia</w:t>
      </w:r>
      <w:proofErr w:type="spellEnd"/>
      <w:r w:rsidRPr="00966DF3">
        <w:t xml:space="preserve"> modificată) </w:t>
      </w:r>
      <w:r w:rsidR="005E36E9" w:rsidRPr="00966DF3">
        <w:t xml:space="preserve">/confirmarea BNM (după caz, confirmarea BNM modificată) </w:t>
      </w:r>
      <w:r w:rsidRPr="00966DF3">
        <w:t xml:space="preserve">și/sau autorizația </w:t>
      </w:r>
      <w:r w:rsidR="005E36E9" w:rsidRPr="00966DF3">
        <w:t xml:space="preserve">BNM </w:t>
      </w:r>
      <w:r w:rsidRPr="00966DF3">
        <w:t xml:space="preserve">în formă electronică, prestatorul SPR </w:t>
      </w:r>
      <w:r w:rsidR="00020810">
        <w:t xml:space="preserve">va ține </w:t>
      </w:r>
      <w:r w:rsidRPr="00966DF3">
        <w:t xml:space="preserve">cont de prevederile </w:t>
      </w:r>
      <w:proofErr w:type="spellStart"/>
      <w:r w:rsidRPr="00966DF3">
        <w:t>legislaţiei</w:t>
      </w:r>
      <w:proofErr w:type="spellEnd"/>
      <w:r w:rsidRPr="00966DF3">
        <w:t xml:space="preserve"> privind documentul electronic.</w:t>
      </w:r>
    </w:p>
    <w:p w14:paraId="19C716A3" w14:textId="2AC8E5B4" w:rsidR="007C7327" w:rsidRPr="00966DF3" w:rsidRDefault="007C7327" w:rsidP="002670AC">
      <w:pPr>
        <w:ind w:firstLine="600"/>
        <w:jc w:val="both"/>
      </w:pPr>
    </w:p>
    <w:p w14:paraId="4EC66020" w14:textId="1C650592" w:rsidR="00E76D8D" w:rsidRPr="00966DF3" w:rsidRDefault="00E76D8D" w:rsidP="002670AC">
      <w:pPr>
        <w:ind w:firstLine="600"/>
        <w:jc w:val="both"/>
      </w:pPr>
      <w:r w:rsidRPr="00966DF3">
        <w:t xml:space="preserve">136. Dacă în contul persoanei juridice nerezidente se depun mijloace băneşti în numerar încasate (în cazurile permise de Legea nr.62/ 2008) de la rezident în casa acestei persoane juridice în cadrul operaţiunii valutare supuse autorizării conform legii </w:t>
      </w:r>
      <w:proofErr w:type="spellStart"/>
      <w:r w:rsidRPr="00966DF3">
        <w:t>menţionate</w:t>
      </w:r>
      <w:proofErr w:type="spellEnd"/>
      <w:r w:rsidRPr="00966DF3">
        <w:t xml:space="preserve">, la prestatorul SPR se prezintă autorizaţia BNM </w:t>
      </w:r>
      <w:r w:rsidR="005E36E9" w:rsidRPr="00966DF3">
        <w:t xml:space="preserve">eliberată </w:t>
      </w:r>
      <w:r w:rsidRPr="00966DF3">
        <w:t>rezidentului.”</w:t>
      </w:r>
      <w:r w:rsidR="003B46ED" w:rsidRPr="00966DF3">
        <w:t>;</w:t>
      </w:r>
    </w:p>
    <w:p w14:paraId="1CC76DF0" w14:textId="3585B051" w:rsidR="005E36E9" w:rsidRPr="00966DF3" w:rsidRDefault="005E36E9" w:rsidP="002670AC">
      <w:pPr>
        <w:ind w:firstLine="600"/>
        <w:jc w:val="both"/>
      </w:pPr>
    </w:p>
    <w:p w14:paraId="328EE48D" w14:textId="78D6D9E9" w:rsidR="005E36E9" w:rsidRPr="00966DF3" w:rsidRDefault="009560FA" w:rsidP="002670AC">
      <w:pPr>
        <w:ind w:firstLine="600"/>
        <w:jc w:val="both"/>
      </w:pPr>
      <w:r w:rsidRPr="00966DF3">
        <w:t>3</w:t>
      </w:r>
      <w:r w:rsidR="00F756E7" w:rsidRPr="00966DF3">
        <w:t>2</w:t>
      </w:r>
      <w:r w:rsidR="005E36E9" w:rsidRPr="00966DF3">
        <w:t>) Punctul 138, prima propoziție va avea următorul cuprins: „</w:t>
      </w:r>
      <w:bookmarkStart w:id="22" w:name="_Hlk130901468"/>
      <w:r w:rsidR="005E36E9" w:rsidRPr="00966DF3">
        <w:t xml:space="preserve">În cazul indicat la pct.117 prestatorul SPR trebuie să aibă dovezi că rezidentul care efectuează </w:t>
      </w:r>
      <w:proofErr w:type="spellStart"/>
      <w:r w:rsidR="005E36E9" w:rsidRPr="00966DF3">
        <w:t>operaţiunea</w:t>
      </w:r>
      <w:proofErr w:type="spellEnd"/>
      <w:r w:rsidR="005E36E9" w:rsidRPr="00966DF3">
        <w:t xml:space="preserve"> valutară supusă notificării/autorizării </w:t>
      </w:r>
      <w:proofErr w:type="spellStart"/>
      <w:r w:rsidR="005E36E9" w:rsidRPr="00966DF3">
        <w:t>deţine</w:t>
      </w:r>
      <w:proofErr w:type="spellEnd"/>
      <w:r w:rsidR="005E36E9" w:rsidRPr="00966DF3">
        <w:t xml:space="preserve"> </w:t>
      </w:r>
      <w:proofErr w:type="spellStart"/>
      <w:r w:rsidR="005E36E9" w:rsidRPr="00966DF3">
        <w:t>notificaţia</w:t>
      </w:r>
      <w:proofErr w:type="spellEnd"/>
      <w:r w:rsidR="005E36E9" w:rsidRPr="00966DF3">
        <w:t xml:space="preserve">/ confirmarea BNM/ </w:t>
      </w:r>
      <w:proofErr w:type="spellStart"/>
      <w:r w:rsidR="005E36E9" w:rsidRPr="00966DF3">
        <w:t>autorizaţia</w:t>
      </w:r>
      <w:proofErr w:type="spellEnd"/>
      <w:r w:rsidR="005E36E9" w:rsidRPr="00966DF3">
        <w:t xml:space="preserve"> BNM </w:t>
      </w:r>
      <w:proofErr w:type="spellStart"/>
      <w:r w:rsidR="005E36E9" w:rsidRPr="00966DF3">
        <w:t>şi</w:t>
      </w:r>
      <w:proofErr w:type="spellEnd"/>
      <w:r w:rsidR="005E36E9" w:rsidRPr="00966DF3">
        <w:t xml:space="preserve"> că plata/transferul se efectuează conform cerinţelor autorizaţiei BNM, în cazul </w:t>
      </w:r>
      <w:proofErr w:type="spellStart"/>
      <w:r w:rsidR="005E36E9" w:rsidRPr="00966DF3">
        <w:t>operaţiunii</w:t>
      </w:r>
      <w:proofErr w:type="spellEnd"/>
      <w:r w:rsidR="005E36E9" w:rsidRPr="00966DF3">
        <w:t xml:space="preserve"> valutare autorizate.</w:t>
      </w:r>
      <w:bookmarkEnd w:id="22"/>
      <w:r w:rsidR="005E36E9" w:rsidRPr="00966DF3">
        <w:t>”</w:t>
      </w:r>
      <w:r w:rsidR="00020810">
        <w:t>;</w:t>
      </w:r>
    </w:p>
    <w:p w14:paraId="05D48EFA" w14:textId="77777777" w:rsidR="00D976D7" w:rsidRPr="00966DF3" w:rsidRDefault="00D976D7" w:rsidP="002670AC">
      <w:pPr>
        <w:ind w:firstLine="600"/>
        <w:jc w:val="both"/>
      </w:pPr>
    </w:p>
    <w:p w14:paraId="091075BF" w14:textId="3D762E8C" w:rsidR="00E76D8D" w:rsidRPr="00966DF3" w:rsidRDefault="009560FA" w:rsidP="002670AC">
      <w:pPr>
        <w:ind w:firstLine="600"/>
        <w:jc w:val="both"/>
      </w:pPr>
      <w:r w:rsidRPr="00966DF3">
        <w:t>3</w:t>
      </w:r>
      <w:r w:rsidR="00F756E7" w:rsidRPr="00966DF3">
        <w:t>3</w:t>
      </w:r>
      <w:r w:rsidR="00E76D8D" w:rsidRPr="00966DF3">
        <w:t xml:space="preserve">) </w:t>
      </w:r>
      <w:r w:rsidR="00CF1D43" w:rsidRPr="00966DF3">
        <w:t xml:space="preserve">Punctul </w:t>
      </w:r>
      <w:r w:rsidR="00E76D8D" w:rsidRPr="00966DF3">
        <w:t>139 se abrogă</w:t>
      </w:r>
      <w:r w:rsidR="00FB5D8B" w:rsidRPr="00966DF3">
        <w:t>;</w:t>
      </w:r>
    </w:p>
    <w:p w14:paraId="02861AE4" w14:textId="28857E75" w:rsidR="005E36E9" w:rsidRPr="00966DF3" w:rsidRDefault="005E36E9" w:rsidP="002670AC">
      <w:pPr>
        <w:ind w:firstLine="600"/>
        <w:jc w:val="both"/>
      </w:pPr>
    </w:p>
    <w:p w14:paraId="24511F81" w14:textId="79E47B8F" w:rsidR="005E36E9" w:rsidRPr="00966DF3" w:rsidRDefault="009560FA" w:rsidP="002670AC">
      <w:pPr>
        <w:ind w:firstLine="600"/>
        <w:jc w:val="both"/>
      </w:pPr>
      <w:r w:rsidRPr="00966DF3">
        <w:t>3</w:t>
      </w:r>
      <w:r w:rsidR="00F756E7" w:rsidRPr="00966DF3">
        <w:t>4</w:t>
      </w:r>
      <w:r w:rsidR="005E36E9" w:rsidRPr="00966DF3">
        <w:t>) Punctul 140 va avea următorul cuprins:</w:t>
      </w:r>
    </w:p>
    <w:p w14:paraId="6F570A1F" w14:textId="126E392A" w:rsidR="005E36E9" w:rsidRPr="00966DF3" w:rsidRDefault="005E36E9" w:rsidP="002670AC">
      <w:pPr>
        <w:ind w:firstLine="600"/>
        <w:jc w:val="both"/>
      </w:pPr>
      <w:r w:rsidRPr="00966DF3">
        <w:t>„</w:t>
      </w:r>
      <w:bookmarkStart w:id="23" w:name="_Hlk130901518"/>
      <w:r w:rsidRPr="00966DF3">
        <w:rPr>
          <w:b/>
          <w:bCs/>
          <w:lang w:val="it-IT"/>
        </w:rPr>
        <w:t>140.</w:t>
      </w:r>
      <w:r w:rsidRPr="00966DF3">
        <w:rPr>
          <w:lang w:val="it-IT"/>
        </w:rPr>
        <w:t xml:space="preserve"> Datele din documentele justificative aferente operaţiunilor valutare notificate/autorizate trebuie să corespundă cu datele corespunzătoare din notificaţie/ </w:t>
      </w:r>
      <w:bookmarkStart w:id="24" w:name="_Hlk129959929"/>
      <w:r w:rsidRPr="00966DF3">
        <w:rPr>
          <w:lang w:val="it-IT"/>
        </w:rPr>
        <w:t>confirmarea BNM/</w:t>
      </w:r>
      <w:bookmarkEnd w:id="24"/>
      <w:r w:rsidRPr="00966DF3">
        <w:rPr>
          <w:lang w:val="it-IT"/>
        </w:rPr>
        <w:t xml:space="preserve"> autorizația BNM. În cazul necorespunderii acestor date</w:t>
      </w:r>
      <w:r w:rsidR="00020810">
        <w:rPr>
          <w:lang w:val="it-IT"/>
        </w:rPr>
        <w:t>,</w:t>
      </w:r>
      <w:r w:rsidRPr="00966DF3">
        <w:rPr>
          <w:lang w:val="it-IT"/>
        </w:rPr>
        <w:t xml:space="preserve"> rezidentul </w:t>
      </w:r>
      <w:r w:rsidR="00020810">
        <w:rPr>
          <w:lang w:val="it-IT"/>
        </w:rPr>
        <w:t xml:space="preserve">va prezenta </w:t>
      </w:r>
      <w:r w:rsidRPr="00966DF3">
        <w:rPr>
          <w:lang w:val="it-IT"/>
        </w:rPr>
        <w:t>la prestatorul SPR notificaţia modificată</w:t>
      </w:r>
      <w:r w:rsidR="006A4825" w:rsidRPr="00966DF3" w:rsidDel="006A4825">
        <w:rPr>
          <w:lang w:val="it-IT"/>
        </w:rPr>
        <w:t xml:space="preserve"> </w:t>
      </w:r>
      <w:r w:rsidRPr="00966DF3">
        <w:rPr>
          <w:lang w:val="it-IT"/>
        </w:rPr>
        <w:t>/confirmarea BNM modificată /amendamentul la autorizația BNM, care va conţine modificările/completările respective.</w:t>
      </w:r>
      <w:bookmarkEnd w:id="23"/>
      <w:r w:rsidRPr="00966DF3">
        <w:t>”</w:t>
      </w:r>
      <w:r w:rsidR="00A335BB">
        <w:t>;</w:t>
      </w:r>
    </w:p>
    <w:p w14:paraId="54D313CA" w14:textId="03688C60" w:rsidR="005E36E9" w:rsidRPr="00966DF3" w:rsidRDefault="005E36E9" w:rsidP="002670AC">
      <w:pPr>
        <w:ind w:firstLine="600"/>
        <w:jc w:val="both"/>
      </w:pPr>
    </w:p>
    <w:p w14:paraId="5CDDF891" w14:textId="2A9E58A0" w:rsidR="005E36E9" w:rsidRPr="00966DF3" w:rsidRDefault="009560FA" w:rsidP="002670AC">
      <w:pPr>
        <w:ind w:firstLine="600"/>
        <w:jc w:val="both"/>
      </w:pPr>
      <w:r w:rsidRPr="00966DF3">
        <w:t>3</w:t>
      </w:r>
      <w:r w:rsidR="00F756E7" w:rsidRPr="00966DF3">
        <w:t>5</w:t>
      </w:r>
      <w:r w:rsidR="005E36E9" w:rsidRPr="00966DF3">
        <w:t xml:space="preserve">) La punctul 141 </w:t>
      </w:r>
      <w:r w:rsidR="00F766EC" w:rsidRPr="00966DF3">
        <w:t>și 142</w:t>
      </w:r>
      <w:r w:rsidR="004A546D" w:rsidRPr="00966DF3">
        <w:t>,</w:t>
      </w:r>
      <w:r w:rsidR="00F766EC" w:rsidRPr="00966DF3">
        <w:t xml:space="preserve"> </w:t>
      </w:r>
      <w:r w:rsidR="005E36E9" w:rsidRPr="00966DF3">
        <w:t>cuvântul „autorizație” se substituie cu cuvintele „autorizația BNM”;</w:t>
      </w:r>
    </w:p>
    <w:p w14:paraId="7BD45561" w14:textId="1613F013" w:rsidR="00D976D7" w:rsidRPr="00966DF3" w:rsidRDefault="00D976D7" w:rsidP="002670AC">
      <w:pPr>
        <w:ind w:firstLine="600"/>
        <w:jc w:val="both"/>
      </w:pPr>
    </w:p>
    <w:p w14:paraId="15EDCB37" w14:textId="17BAB3D7" w:rsidR="00F766EC" w:rsidRPr="00966DF3" w:rsidRDefault="009560FA" w:rsidP="002670AC">
      <w:pPr>
        <w:ind w:firstLine="600"/>
        <w:jc w:val="both"/>
      </w:pPr>
      <w:r w:rsidRPr="00966DF3">
        <w:t>3</w:t>
      </w:r>
      <w:r w:rsidR="00F756E7" w:rsidRPr="00966DF3">
        <w:t>6</w:t>
      </w:r>
      <w:r w:rsidR="00F766EC" w:rsidRPr="00966DF3">
        <w:t>) La punctul 143</w:t>
      </w:r>
      <w:r w:rsidR="004A546D" w:rsidRPr="00966DF3">
        <w:t>,</w:t>
      </w:r>
      <w:r w:rsidR="00F766EC" w:rsidRPr="00966DF3">
        <w:t xml:space="preserve"> literele a) și b) vor avea următorul cuprins:</w:t>
      </w:r>
    </w:p>
    <w:p w14:paraId="4D05A092" w14:textId="2BCBDC04" w:rsidR="00F766EC" w:rsidRPr="00966DF3" w:rsidRDefault="00F766EC" w:rsidP="00F766EC">
      <w:pPr>
        <w:ind w:firstLine="600"/>
        <w:jc w:val="both"/>
        <w:rPr>
          <w:lang w:val="it-IT"/>
        </w:rPr>
      </w:pPr>
      <w:r w:rsidRPr="00966DF3">
        <w:t>„</w:t>
      </w:r>
      <w:bookmarkStart w:id="25" w:name="_Hlk130901697"/>
      <w:r w:rsidRPr="00966DF3">
        <w:rPr>
          <w:lang w:val="it-IT"/>
        </w:rPr>
        <w:t xml:space="preserve">a) notificaţia </w:t>
      </w:r>
      <w:r w:rsidR="00AB3021" w:rsidRPr="00966DF3">
        <w:rPr>
          <w:lang w:val="it-IT"/>
        </w:rPr>
        <w:t>/</w:t>
      </w:r>
      <w:r w:rsidRPr="00966DF3">
        <w:rPr>
          <w:lang w:val="it-IT"/>
        </w:rPr>
        <w:t xml:space="preserve">notificaţia modificată ori </w:t>
      </w:r>
      <w:bookmarkStart w:id="26" w:name="_Hlk130377128"/>
      <w:r w:rsidRPr="00966DF3">
        <w:rPr>
          <w:lang w:val="it-IT"/>
        </w:rPr>
        <w:t xml:space="preserve">confirmarea BNM </w:t>
      </w:r>
      <w:bookmarkEnd w:id="26"/>
      <w:r w:rsidR="00AB3021" w:rsidRPr="00966DF3">
        <w:rPr>
          <w:lang w:val="it-IT"/>
        </w:rPr>
        <w:t>/</w:t>
      </w:r>
      <w:r w:rsidRPr="00966DF3">
        <w:rPr>
          <w:lang w:val="it-IT"/>
        </w:rPr>
        <w:t>confirmarea BNM modificată;</w:t>
      </w:r>
    </w:p>
    <w:p w14:paraId="031C1E9D" w14:textId="35203A3F" w:rsidR="00F766EC" w:rsidRPr="00966DF3" w:rsidRDefault="00F766EC" w:rsidP="002670AC">
      <w:pPr>
        <w:ind w:firstLine="600"/>
        <w:jc w:val="both"/>
      </w:pPr>
      <w:r w:rsidRPr="00966DF3">
        <w:rPr>
          <w:lang w:val="it-IT"/>
        </w:rPr>
        <w:t>b) autorizaţia BNM şi, dacă există, amendamentele la aceasta.</w:t>
      </w:r>
      <w:bookmarkEnd w:id="25"/>
      <w:r w:rsidRPr="00966DF3">
        <w:t>”</w:t>
      </w:r>
      <w:r w:rsidR="00A335BB">
        <w:t>;</w:t>
      </w:r>
    </w:p>
    <w:p w14:paraId="111E767C" w14:textId="77777777" w:rsidR="00F766EC" w:rsidRPr="00966DF3" w:rsidRDefault="00F766EC" w:rsidP="002670AC">
      <w:pPr>
        <w:ind w:firstLine="600"/>
        <w:jc w:val="both"/>
      </w:pPr>
    </w:p>
    <w:p w14:paraId="100BC30D" w14:textId="18A057AC" w:rsidR="00E76D8D" w:rsidRPr="00966DF3" w:rsidRDefault="009560FA" w:rsidP="002670AC">
      <w:pPr>
        <w:ind w:firstLine="600"/>
        <w:jc w:val="both"/>
      </w:pPr>
      <w:r w:rsidRPr="00966DF3">
        <w:t>3</w:t>
      </w:r>
      <w:r w:rsidR="00F756E7" w:rsidRPr="00966DF3">
        <w:t>7</w:t>
      </w:r>
      <w:r w:rsidR="00E76D8D" w:rsidRPr="00966DF3">
        <w:t xml:space="preserve">) La </w:t>
      </w:r>
      <w:r w:rsidR="00CF1D43" w:rsidRPr="00966DF3">
        <w:t xml:space="preserve">punctul </w:t>
      </w:r>
      <w:r w:rsidR="00E76D8D" w:rsidRPr="00966DF3">
        <w:t>144</w:t>
      </w:r>
      <w:r w:rsidR="003B46ED" w:rsidRPr="00966DF3">
        <w:t>,</w:t>
      </w:r>
      <w:r w:rsidR="00E76D8D" w:rsidRPr="00966DF3">
        <w:t xml:space="preserve"> textul „pct.139-142” se substituie cu textul „pct.140-142”</w:t>
      </w:r>
      <w:r w:rsidR="00FB5D8B" w:rsidRPr="00966DF3">
        <w:t>;</w:t>
      </w:r>
    </w:p>
    <w:p w14:paraId="1179BA74" w14:textId="77777777" w:rsidR="00D976D7" w:rsidRPr="00966DF3" w:rsidRDefault="00D976D7" w:rsidP="002670AC">
      <w:pPr>
        <w:ind w:firstLine="600"/>
        <w:jc w:val="both"/>
      </w:pPr>
    </w:p>
    <w:p w14:paraId="7E27BF2E" w14:textId="5A5014A9" w:rsidR="00FB5D8B" w:rsidRPr="00966DF3" w:rsidRDefault="009560FA" w:rsidP="002670AC">
      <w:pPr>
        <w:ind w:firstLine="600"/>
        <w:jc w:val="both"/>
      </w:pPr>
      <w:r w:rsidRPr="00966DF3">
        <w:t>3</w:t>
      </w:r>
      <w:r w:rsidR="00F756E7" w:rsidRPr="00966DF3">
        <w:t>8</w:t>
      </w:r>
      <w:r w:rsidR="00FB5D8B" w:rsidRPr="00966DF3">
        <w:t xml:space="preserve">) </w:t>
      </w:r>
      <w:r w:rsidR="00F766EC" w:rsidRPr="00966DF3">
        <w:t>Punctul 145 va avea următorul cuprins:</w:t>
      </w:r>
    </w:p>
    <w:p w14:paraId="37F8A861" w14:textId="30675F80" w:rsidR="00F766EC" w:rsidRPr="00966DF3" w:rsidRDefault="00F766EC" w:rsidP="002670AC">
      <w:pPr>
        <w:ind w:firstLine="600"/>
        <w:jc w:val="both"/>
      </w:pPr>
      <w:r w:rsidRPr="00966DF3">
        <w:t>„</w:t>
      </w:r>
      <w:bookmarkStart w:id="27" w:name="_Hlk130901969"/>
      <w:r w:rsidRPr="00966DF3">
        <w:rPr>
          <w:b/>
          <w:bCs/>
          <w:lang w:val="it-IT"/>
        </w:rPr>
        <w:t>145.</w:t>
      </w:r>
      <w:r w:rsidRPr="00966DF3">
        <w:rPr>
          <w:lang w:val="it-IT"/>
        </w:rPr>
        <w:t xml:space="preserve"> În cazul efectuării de către prestatorul SPR în nume şi din cont propriu a operaţiunii valutare notificate/autorizate prin contul său deschis la alt prestator SPR, notificaţia/ confirmarea BNM/ autorizaţia BNM se prezintă la prestatorul SPR la care este deschis contul. În acest caz, se aplică, respectiv, prevederile pct.130-135 şi 137-142.</w:t>
      </w:r>
      <w:bookmarkEnd w:id="27"/>
      <w:r w:rsidRPr="00966DF3">
        <w:t>”</w:t>
      </w:r>
      <w:r w:rsidR="00A335BB">
        <w:t>.</w:t>
      </w:r>
    </w:p>
    <w:p w14:paraId="23C1F0D9" w14:textId="77777777" w:rsidR="002F2CD2" w:rsidRPr="00966DF3" w:rsidRDefault="002F2CD2" w:rsidP="002670AC">
      <w:pPr>
        <w:ind w:firstLine="600"/>
        <w:jc w:val="both"/>
      </w:pPr>
    </w:p>
    <w:p w14:paraId="5E27D442" w14:textId="1011B58A" w:rsidR="002F2CD2" w:rsidRDefault="00E76D8D" w:rsidP="00966DF3">
      <w:pPr>
        <w:ind w:firstLine="720"/>
        <w:jc w:val="both"/>
      </w:pPr>
      <w:r w:rsidRPr="00966DF3">
        <w:rPr>
          <w:b/>
          <w:bCs/>
        </w:rPr>
        <w:t>II. Prezenta hotărâre intră în vigoare la data de 20 iulie 2023, cu excepția prevederilor punct</w:t>
      </w:r>
      <w:r w:rsidR="00A335BB">
        <w:rPr>
          <w:b/>
          <w:bCs/>
        </w:rPr>
        <w:t>elor</w:t>
      </w:r>
      <w:r w:rsidRPr="00966DF3">
        <w:rPr>
          <w:b/>
          <w:bCs/>
        </w:rPr>
        <w:t xml:space="preserve"> </w:t>
      </w:r>
      <w:r w:rsidR="00AB3021" w:rsidRPr="00966DF3">
        <w:rPr>
          <w:b/>
          <w:bCs/>
        </w:rPr>
        <w:t xml:space="preserve">3) și </w:t>
      </w:r>
      <w:r w:rsidR="009560FA" w:rsidRPr="00966DF3">
        <w:rPr>
          <w:b/>
          <w:bCs/>
        </w:rPr>
        <w:t>16</w:t>
      </w:r>
      <w:r w:rsidRPr="00966DF3">
        <w:rPr>
          <w:b/>
          <w:bCs/>
        </w:rPr>
        <w:t>)</w:t>
      </w:r>
      <w:r w:rsidR="00FB5D8B" w:rsidRPr="00966DF3">
        <w:rPr>
          <w:b/>
          <w:bCs/>
        </w:rPr>
        <w:t xml:space="preserve"> </w:t>
      </w:r>
      <w:r w:rsidRPr="00966DF3">
        <w:rPr>
          <w:b/>
          <w:bCs/>
        </w:rPr>
        <w:t xml:space="preserve">care </w:t>
      </w:r>
      <w:r w:rsidR="00A335BB">
        <w:rPr>
          <w:b/>
          <w:bCs/>
        </w:rPr>
        <w:t xml:space="preserve">vor </w:t>
      </w:r>
      <w:r w:rsidRPr="00966DF3">
        <w:rPr>
          <w:b/>
          <w:bCs/>
        </w:rPr>
        <w:t xml:space="preserve">intră în vigoare la </w:t>
      </w:r>
      <w:r w:rsidR="00FB5D8B" w:rsidRPr="00966DF3">
        <w:rPr>
          <w:b/>
          <w:bCs/>
        </w:rPr>
        <w:t>5 august</w:t>
      </w:r>
      <w:r w:rsidRPr="00966DF3">
        <w:rPr>
          <w:b/>
          <w:bCs/>
        </w:rPr>
        <w:t xml:space="preserve"> 2023.</w:t>
      </w:r>
    </w:p>
    <w:sectPr w:rsidR="002F2CD2" w:rsidSect="00FC535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6BCB0" w14:textId="77777777" w:rsidR="00207F38" w:rsidRDefault="00207F38" w:rsidP="00FC535B">
      <w:r>
        <w:separator/>
      </w:r>
    </w:p>
  </w:endnote>
  <w:endnote w:type="continuationSeparator" w:id="0">
    <w:p w14:paraId="5C6E5EAA" w14:textId="77777777" w:rsidR="00207F38" w:rsidRDefault="00207F38" w:rsidP="00FC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F287" w14:textId="07C96C76" w:rsidR="00FC535B" w:rsidRPr="003748D9" w:rsidRDefault="003748D9" w:rsidP="003748D9">
    <w:pPr>
      <w:pStyle w:val="Footer"/>
    </w:pPr>
    <w:bookmarkStart w:id="30" w:name="TITUS1FooterEvenPages"/>
    <w:r w:rsidRPr="003748D9">
      <w:rPr>
        <w:color w:val="000000"/>
        <w:sz w:val="2"/>
      </w:rPr>
      <w:t> </w:t>
    </w:r>
    <w:bookmarkEnd w:id="3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D058" w14:textId="5625D682" w:rsidR="00FC535B" w:rsidRPr="003748D9" w:rsidRDefault="003748D9" w:rsidP="003748D9">
    <w:pPr>
      <w:pStyle w:val="Footer"/>
    </w:pPr>
    <w:bookmarkStart w:id="31" w:name="TITUS1FooterPrimary"/>
    <w:r w:rsidRPr="003748D9">
      <w:rPr>
        <w:color w:val="000000"/>
        <w:sz w:val="2"/>
      </w:rPr>
      <w:t> </w:t>
    </w:r>
    <w:bookmarkEnd w:id="3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2041" w14:textId="77777777" w:rsidR="00FC535B" w:rsidRDefault="00FC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4AFFC" w14:textId="77777777" w:rsidR="00207F38" w:rsidRDefault="00207F38" w:rsidP="00FC535B">
      <w:r>
        <w:separator/>
      </w:r>
    </w:p>
  </w:footnote>
  <w:footnote w:type="continuationSeparator" w:id="0">
    <w:p w14:paraId="6C2E9D53" w14:textId="77777777" w:rsidR="00207F38" w:rsidRDefault="00207F38" w:rsidP="00FC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5959" w14:textId="53585AE5" w:rsidR="00FC535B" w:rsidRPr="003748D9" w:rsidRDefault="003748D9" w:rsidP="003748D9">
    <w:pPr>
      <w:pStyle w:val="Header"/>
    </w:pPr>
    <w:bookmarkStart w:id="28" w:name="TITUS1HeaderEvenPages"/>
    <w:r w:rsidRPr="003748D9">
      <w:rPr>
        <w:color w:val="000000"/>
        <w:sz w:val="2"/>
      </w:rPr>
      <w:t> </w:t>
    </w:r>
    <w:bookmarkEnd w:id="28"/>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0065" w14:textId="1BE3AF1E" w:rsidR="00FC535B" w:rsidRPr="003748D9" w:rsidRDefault="003748D9" w:rsidP="003748D9">
    <w:pPr>
      <w:pStyle w:val="Header"/>
    </w:pPr>
    <w:bookmarkStart w:id="29" w:name="TITUS1HeaderPrimary"/>
    <w:r w:rsidRPr="003748D9">
      <w:rPr>
        <w:color w:val="000000"/>
        <w:sz w:val="2"/>
      </w:rPr>
      <w:t> </w:t>
    </w:r>
    <w:bookmarkEnd w:id="2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761A" w14:textId="77777777" w:rsidR="00FC535B" w:rsidRDefault="00FC5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1F"/>
    <w:rsid w:val="00020810"/>
    <w:rsid w:val="00026655"/>
    <w:rsid w:val="00073E53"/>
    <w:rsid w:val="001114CA"/>
    <w:rsid w:val="00144459"/>
    <w:rsid w:val="00147688"/>
    <w:rsid w:val="00153917"/>
    <w:rsid w:val="001E6727"/>
    <w:rsid w:val="00207F38"/>
    <w:rsid w:val="002449F1"/>
    <w:rsid w:val="00261E7A"/>
    <w:rsid w:val="002670AC"/>
    <w:rsid w:val="0026796F"/>
    <w:rsid w:val="002C4652"/>
    <w:rsid w:val="002D6721"/>
    <w:rsid w:val="002F2CD2"/>
    <w:rsid w:val="00344210"/>
    <w:rsid w:val="003748D9"/>
    <w:rsid w:val="00381C6C"/>
    <w:rsid w:val="0038527B"/>
    <w:rsid w:val="00393723"/>
    <w:rsid w:val="003A393D"/>
    <w:rsid w:val="003B46ED"/>
    <w:rsid w:val="003D7702"/>
    <w:rsid w:val="00404B21"/>
    <w:rsid w:val="00410F9E"/>
    <w:rsid w:val="004A546D"/>
    <w:rsid w:val="004C5F63"/>
    <w:rsid w:val="004E0079"/>
    <w:rsid w:val="004F2B9B"/>
    <w:rsid w:val="0050305D"/>
    <w:rsid w:val="0051517D"/>
    <w:rsid w:val="00541F0F"/>
    <w:rsid w:val="00583C61"/>
    <w:rsid w:val="005D016D"/>
    <w:rsid w:val="005E36E9"/>
    <w:rsid w:val="00600092"/>
    <w:rsid w:val="00606480"/>
    <w:rsid w:val="00644459"/>
    <w:rsid w:val="006478D6"/>
    <w:rsid w:val="006A4825"/>
    <w:rsid w:val="006B2A32"/>
    <w:rsid w:val="006E2CB3"/>
    <w:rsid w:val="00711E34"/>
    <w:rsid w:val="0072747F"/>
    <w:rsid w:val="00772750"/>
    <w:rsid w:val="00793462"/>
    <w:rsid w:val="007C7327"/>
    <w:rsid w:val="007D77D0"/>
    <w:rsid w:val="007E237D"/>
    <w:rsid w:val="007F66B5"/>
    <w:rsid w:val="008079F0"/>
    <w:rsid w:val="008358E1"/>
    <w:rsid w:val="008D0380"/>
    <w:rsid w:val="008D0E2A"/>
    <w:rsid w:val="009251F1"/>
    <w:rsid w:val="009560FA"/>
    <w:rsid w:val="00966DF3"/>
    <w:rsid w:val="0097548E"/>
    <w:rsid w:val="009C36A3"/>
    <w:rsid w:val="009C4AFF"/>
    <w:rsid w:val="009F6A52"/>
    <w:rsid w:val="00A00FDC"/>
    <w:rsid w:val="00A1787A"/>
    <w:rsid w:val="00A21C12"/>
    <w:rsid w:val="00A335BB"/>
    <w:rsid w:val="00A356F2"/>
    <w:rsid w:val="00AA6D35"/>
    <w:rsid w:val="00AB3021"/>
    <w:rsid w:val="00AC4BC5"/>
    <w:rsid w:val="00AE72A1"/>
    <w:rsid w:val="00B03D47"/>
    <w:rsid w:val="00B16142"/>
    <w:rsid w:val="00B17A6F"/>
    <w:rsid w:val="00B43772"/>
    <w:rsid w:val="00BC70A2"/>
    <w:rsid w:val="00BD11AB"/>
    <w:rsid w:val="00BE19CE"/>
    <w:rsid w:val="00C53C45"/>
    <w:rsid w:val="00C71EAD"/>
    <w:rsid w:val="00C72742"/>
    <w:rsid w:val="00C93A25"/>
    <w:rsid w:val="00CF1D43"/>
    <w:rsid w:val="00D06639"/>
    <w:rsid w:val="00D506CA"/>
    <w:rsid w:val="00D51D24"/>
    <w:rsid w:val="00D7441B"/>
    <w:rsid w:val="00D976D7"/>
    <w:rsid w:val="00DB61BA"/>
    <w:rsid w:val="00DC021F"/>
    <w:rsid w:val="00DC3248"/>
    <w:rsid w:val="00DD0737"/>
    <w:rsid w:val="00E27AEC"/>
    <w:rsid w:val="00E76D8D"/>
    <w:rsid w:val="00E9036D"/>
    <w:rsid w:val="00EB79CF"/>
    <w:rsid w:val="00EF620E"/>
    <w:rsid w:val="00F043E6"/>
    <w:rsid w:val="00F2107B"/>
    <w:rsid w:val="00F51DDF"/>
    <w:rsid w:val="00F61EB2"/>
    <w:rsid w:val="00F7126B"/>
    <w:rsid w:val="00F756E7"/>
    <w:rsid w:val="00F766EC"/>
    <w:rsid w:val="00F92743"/>
    <w:rsid w:val="00FB1BCA"/>
    <w:rsid w:val="00FB323D"/>
    <w:rsid w:val="00FB5D8B"/>
    <w:rsid w:val="00FC535B"/>
    <w:rsid w:val="00FE570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CBEC3"/>
  <w15:chartTrackingRefBased/>
  <w15:docId w15:val="{E1C8A7C1-699C-49E2-A75F-3E99B98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41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35B"/>
    <w:pPr>
      <w:tabs>
        <w:tab w:val="center" w:pos="4677"/>
        <w:tab w:val="right" w:pos="9355"/>
      </w:tabs>
    </w:pPr>
  </w:style>
  <w:style w:type="character" w:customStyle="1" w:styleId="HeaderChar">
    <w:name w:val="Header Char"/>
    <w:basedOn w:val="DefaultParagraphFont"/>
    <w:link w:val="Header"/>
    <w:uiPriority w:val="99"/>
    <w:rsid w:val="00FC535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FC535B"/>
    <w:pPr>
      <w:tabs>
        <w:tab w:val="center" w:pos="4677"/>
        <w:tab w:val="right" w:pos="9355"/>
      </w:tabs>
    </w:pPr>
  </w:style>
  <w:style w:type="character" w:customStyle="1" w:styleId="FooterChar">
    <w:name w:val="Footer Char"/>
    <w:basedOn w:val="DefaultParagraphFont"/>
    <w:link w:val="Footer"/>
    <w:uiPriority w:val="99"/>
    <w:rsid w:val="00FC535B"/>
    <w:rPr>
      <w:rFonts w:ascii="Times New Roman" w:eastAsia="Times New Roman" w:hAnsi="Times New Roman" w:cs="Times New Roman"/>
      <w:sz w:val="24"/>
      <w:szCs w:val="24"/>
      <w:lang w:val="ro-RO"/>
    </w:rPr>
  </w:style>
  <w:style w:type="paragraph" w:styleId="Revision">
    <w:name w:val="Revision"/>
    <w:hidden/>
    <w:uiPriority w:val="99"/>
    <w:semiHidden/>
    <w:rsid w:val="00C93A25"/>
    <w:pPr>
      <w:spacing w:after="0" w:line="240" w:lineRule="auto"/>
    </w:pPr>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6E2CB3"/>
    <w:rPr>
      <w:sz w:val="16"/>
      <w:szCs w:val="16"/>
    </w:rPr>
  </w:style>
  <w:style w:type="paragraph" w:styleId="CommentText">
    <w:name w:val="annotation text"/>
    <w:basedOn w:val="Normal"/>
    <w:link w:val="CommentTextChar"/>
    <w:uiPriority w:val="99"/>
    <w:unhideWhenUsed/>
    <w:rsid w:val="006E2CB3"/>
    <w:rPr>
      <w:sz w:val="20"/>
      <w:szCs w:val="20"/>
    </w:rPr>
  </w:style>
  <w:style w:type="character" w:customStyle="1" w:styleId="CommentTextChar">
    <w:name w:val="Comment Text Char"/>
    <w:basedOn w:val="DefaultParagraphFont"/>
    <w:link w:val="CommentText"/>
    <w:uiPriority w:val="99"/>
    <w:rsid w:val="006E2CB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E2CB3"/>
    <w:rPr>
      <w:b/>
      <w:bCs/>
    </w:rPr>
  </w:style>
  <w:style w:type="character" w:customStyle="1" w:styleId="CommentSubjectChar">
    <w:name w:val="Comment Subject Char"/>
    <w:basedOn w:val="CommentTextChar"/>
    <w:link w:val="CommentSubject"/>
    <w:uiPriority w:val="99"/>
    <w:semiHidden/>
    <w:rsid w:val="006E2CB3"/>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2023-04-14T08:26:00Z</cp:lastPrinted>
  <dcterms:created xsi:type="dcterms:W3CDTF">2023-04-14T08:26:00Z</dcterms:created>
  <dcterms:modified xsi:type="dcterms:W3CDTF">2023-04-14T08:26:00Z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83384363-9c5e-4202-929b-322f05ed0c52</vt:lpwstr>
  </property>
  <property fmtid="{D5CDD505-2E9C-101B-9397-08002B2CF9AE}" pid="3" name="check">
    <vt:lpwstr>NONE</vt:lpwstr>
  </property>
  <property fmtid="{D5CDD505-2E9C-101B-9397-08002B2CF9AE}" pid="4" name="Clasificare">
    <vt:lpwstr>NONE</vt:lpwstr>
  </property>
</Properties>
</file>